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35706" w14:textId="77777777" w:rsidR="00F70A63" w:rsidRPr="00F70A63" w:rsidRDefault="00F70A63" w:rsidP="00F70A63">
      <w:pPr>
        <w:widowControl/>
        <w:pBdr>
          <w:top w:val="nil"/>
          <w:left w:val="nil"/>
          <w:bottom w:val="nil"/>
          <w:right w:val="nil"/>
          <w:between w:val="nil"/>
        </w:pBdr>
        <w:jc w:val="center"/>
        <w:rPr>
          <w:rFonts w:ascii="Arial" w:eastAsia="Arial" w:hAnsi="Arial" w:cs="Arial"/>
          <w:b/>
          <w:color w:val="0070C0"/>
          <w:sz w:val="4"/>
          <w:szCs w:val="4"/>
          <w:lang w:val="es-ES_tradnl" w:eastAsia="es-ES"/>
        </w:rPr>
      </w:pPr>
    </w:p>
    <w:p w14:paraId="65864E20" w14:textId="46F0F494" w:rsidR="00C343A7" w:rsidRPr="00E56195" w:rsidRDefault="00E56195" w:rsidP="00E56195">
      <w:pPr>
        <w:jc w:val="center"/>
        <w:rPr>
          <w:rFonts w:ascii="Arial" w:eastAsia="Arial" w:hAnsi="Arial" w:cs="Arial"/>
          <w:b/>
          <w:color w:val="0070C0"/>
          <w:sz w:val="28"/>
          <w:szCs w:val="28"/>
          <w:lang w:val="es-ES_tradnl" w:eastAsia="es-ES"/>
        </w:rPr>
      </w:pPr>
      <w:r w:rsidRPr="00E56195">
        <w:rPr>
          <w:rFonts w:ascii="Arial" w:eastAsia="Arial" w:hAnsi="Arial" w:cs="Arial"/>
          <w:b/>
          <w:color w:val="0070C0"/>
          <w:sz w:val="28"/>
          <w:szCs w:val="28"/>
          <w:lang w:val="es-ES_tradnl" w:eastAsia="es-ES"/>
        </w:rPr>
        <w:t>Cuatro cambios del mercado laboral en los dos últimos años</w:t>
      </w:r>
      <w:r w:rsidRPr="00E56195">
        <w:rPr>
          <w:rFonts w:ascii="Arial" w:eastAsia="Arial" w:hAnsi="Arial" w:cs="Arial"/>
          <w:b/>
          <w:color w:val="0070C0"/>
          <w:sz w:val="28"/>
          <w:szCs w:val="28"/>
          <w:lang w:val="es-ES_tradnl" w:eastAsia="es-ES"/>
        </w:rPr>
        <w:t xml:space="preserve"> </w:t>
      </w:r>
    </w:p>
    <w:p w14:paraId="24E39ABF" w14:textId="77777777" w:rsidR="00E56195" w:rsidRDefault="00E56195" w:rsidP="00C343A7">
      <w:pPr>
        <w:jc w:val="center"/>
        <w:rPr>
          <w:rFonts w:ascii="Arial" w:eastAsia="Arial" w:hAnsi="Arial" w:cs="Arial"/>
          <w:b/>
          <w:color w:val="0070C0"/>
          <w:sz w:val="30"/>
          <w:szCs w:val="30"/>
          <w:lang w:val="es-ES_tradnl" w:eastAsia="es-ES"/>
        </w:rPr>
      </w:pPr>
    </w:p>
    <w:p w14:paraId="2D9E8FD4" w14:textId="570A2615" w:rsidR="00E56195" w:rsidRDefault="00F70A63" w:rsidP="00E56195">
      <w:r>
        <w:rPr>
          <w:rFonts w:ascii="Arial" w:eastAsia="Arial" w:hAnsi="Arial" w:cs="Arial"/>
          <w:b/>
          <w:sz w:val="20"/>
          <w:szCs w:val="20"/>
        </w:rPr>
        <w:t xml:space="preserve">Madrid, </w:t>
      </w:r>
      <w:r w:rsidR="00E56195">
        <w:rPr>
          <w:rFonts w:ascii="Arial" w:eastAsia="Arial" w:hAnsi="Arial" w:cs="Arial"/>
          <w:b/>
          <w:sz w:val="20"/>
          <w:szCs w:val="20"/>
        </w:rPr>
        <w:t>3</w:t>
      </w:r>
      <w:r>
        <w:rPr>
          <w:rFonts w:ascii="Arial" w:eastAsia="Arial" w:hAnsi="Arial" w:cs="Arial"/>
          <w:b/>
          <w:sz w:val="20"/>
          <w:szCs w:val="20"/>
        </w:rPr>
        <w:t xml:space="preserve"> de</w:t>
      </w:r>
      <w:r w:rsidR="000F7990">
        <w:rPr>
          <w:rFonts w:ascii="Arial" w:eastAsia="Arial" w:hAnsi="Arial" w:cs="Arial"/>
          <w:b/>
          <w:sz w:val="20"/>
          <w:szCs w:val="20"/>
        </w:rPr>
        <w:t xml:space="preserve"> </w:t>
      </w:r>
      <w:r w:rsidR="00E56195">
        <w:rPr>
          <w:rFonts w:ascii="Arial" w:eastAsia="Arial" w:hAnsi="Arial" w:cs="Arial"/>
          <w:b/>
          <w:sz w:val="20"/>
          <w:szCs w:val="20"/>
        </w:rPr>
        <w:t>agosto</w:t>
      </w:r>
      <w:r>
        <w:rPr>
          <w:rFonts w:ascii="Arial" w:eastAsia="Arial" w:hAnsi="Arial" w:cs="Arial"/>
          <w:b/>
          <w:sz w:val="20"/>
          <w:szCs w:val="20"/>
        </w:rPr>
        <w:t xml:space="preserve"> de 2021. </w:t>
      </w:r>
      <w:r w:rsidR="00E56195">
        <w:t xml:space="preserve">En España había </w:t>
      </w:r>
      <w:proofErr w:type="spellStart"/>
      <w:r w:rsidR="00E56195">
        <w:t>trabajando</w:t>
      </w:r>
      <w:proofErr w:type="spellEnd"/>
      <w:r w:rsidR="00E56195">
        <w:t xml:space="preserve">, durante el pasado mes de julio, </w:t>
      </w:r>
      <w:r w:rsidR="00E56195" w:rsidRPr="000E296F">
        <w:t>19</w:t>
      </w:r>
      <w:r w:rsidR="00E56195">
        <w:t>.</w:t>
      </w:r>
      <w:r w:rsidR="00E56195" w:rsidRPr="000E296F">
        <w:t>591</w:t>
      </w:r>
      <w:r w:rsidR="00E56195">
        <w:t>.</w:t>
      </w:r>
      <w:r w:rsidR="00E56195" w:rsidRPr="000E296F">
        <w:t>72</w:t>
      </w:r>
      <w:r w:rsidR="00E56195">
        <w:t xml:space="preserve">8 personas, de acuerdo con la cifra de afiliación publicada hoy por la Seguridad Social. El dato es sensiblemente superior a los 19.533.211 afiliados que había en julio de 2019, hace justo dos años, cuando se marcó el máximo de toda la serie histórica. </w:t>
      </w:r>
    </w:p>
    <w:p w14:paraId="3B63DB7B" w14:textId="77777777" w:rsidR="00E56195" w:rsidRDefault="00E56195" w:rsidP="00E56195"/>
    <w:p w14:paraId="37008F02" w14:textId="00E7CE16" w:rsidR="00E56195" w:rsidRDefault="00E56195" w:rsidP="00E56195">
      <w:r>
        <w:t xml:space="preserve">Eso significa que se ha recuperado el nivel de empleo previo a la pandemia de COVID-19 y que nunca ha habido tantos afiliados a la Seguridad Social como ahora. Pero el escenario que se encuentra en el mercado laboral después de cada crisis —o después de cada ciclo expansivo: es un mercado en transformación permanente— es diferente al que había antes. </w:t>
      </w:r>
    </w:p>
    <w:p w14:paraId="57D9D1A5" w14:textId="77777777" w:rsidR="00E56195" w:rsidRDefault="00E56195" w:rsidP="00E56195"/>
    <w:p w14:paraId="2B7B1525" w14:textId="5A4C94DC" w:rsidR="00E56195" w:rsidRDefault="00E56195" w:rsidP="00E56195">
      <w:r>
        <w:t xml:space="preserve">El portal de empleo InfoJobs, a partir de los datos de la Seguridad Social y el Servicio Público de Empleo Estatal, ha identificado una serie de cambios relevantes con respecto a julio de 2019 en algunas de las principales variables: </w:t>
      </w:r>
    </w:p>
    <w:p w14:paraId="46F7B322" w14:textId="77777777" w:rsidR="00E56195" w:rsidRDefault="00E56195" w:rsidP="00E56195"/>
    <w:p w14:paraId="2BE708FB" w14:textId="77777777" w:rsidR="00E56195" w:rsidRDefault="00E56195" w:rsidP="00E56195">
      <w:pPr>
        <w:pStyle w:val="Prrafodelista"/>
        <w:widowControl/>
        <w:numPr>
          <w:ilvl w:val="0"/>
          <w:numId w:val="5"/>
        </w:numPr>
        <w:spacing w:after="160" w:line="259" w:lineRule="auto"/>
        <w:jc w:val="left"/>
      </w:pPr>
      <w:r w:rsidRPr="0051797F">
        <w:rPr>
          <w:b/>
          <w:bCs/>
        </w:rPr>
        <w:t>Paro registrado</w:t>
      </w:r>
      <w:r>
        <w:t xml:space="preserve">: sigue muy por encima de 2019. Los 3,4 millones de parados actuales suponen casi un 13,5 % más de la cifra de hace justo dos años. Es una tendencia que viene repitiéndose en los últimos meses: crece más la afiliación de lo que cae el desempleo, lo cual implica un volumen total de potenciales trabajadores cada vez más alto. </w:t>
      </w:r>
    </w:p>
    <w:p w14:paraId="5950452C" w14:textId="593811A7" w:rsidR="00E56195" w:rsidRDefault="00E56195" w:rsidP="00E56195">
      <w:pPr>
        <w:pStyle w:val="Prrafodelista"/>
        <w:widowControl/>
        <w:numPr>
          <w:ilvl w:val="0"/>
          <w:numId w:val="5"/>
        </w:numPr>
        <w:spacing w:after="160" w:line="259" w:lineRule="auto"/>
        <w:jc w:val="left"/>
      </w:pPr>
      <w:r w:rsidRPr="0051797F">
        <w:rPr>
          <w:b/>
          <w:bCs/>
        </w:rPr>
        <w:t>ERTE</w:t>
      </w:r>
      <w:r>
        <w:t xml:space="preserve">: la gran herramienta desplegada para hacer frente al impacto de la pandemia en el mercado laboral sigue muy vigente y todavía hay más de 330.000 trabajadores acogidos a regulaciones temporales de empleo. Mes a mes siguen </w:t>
      </w:r>
      <w:r>
        <w:t>reincorporándose</w:t>
      </w:r>
      <w:r>
        <w:t xml:space="preserve"> un número importante (116.334 en julio) de ellos, pero esa tendencia va a frenarse pronto: la cifra de trabajadores en ERTE de empresas que no van a reabrir es importante. </w:t>
      </w:r>
    </w:p>
    <w:p w14:paraId="777A8777" w14:textId="77777777" w:rsidR="00E56195" w:rsidRDefault="00E56195" w:rsidP="00E56195">
      <w:pPr>
        <w:pStyle w:val="Prrafodelista"/>
        <w:widowControl/>
        <w:numPr>
          <w:ilvl w:val="0"/>
          <w:numId w:val="5"/>
        </w:numPr>
        <w:spacing w:after="160" w:line="259" w:lineRule="auto"/>
        <w:jc w:val="left"/>
      </w:pPr>
      <w:r w:rsidRPr="0051797F">
        <w:rPr>
          <w:b/>
          <w:bCs/>
        </w:rPr>
        <w:t>El empleo por sexos</w:t>
      </w:r>
      <w:r>
        <w:t xml:space="preserve">: son apenas unas décimas, pero el empleo femenino parece haber tenido un mejor comportamiento en estos dos años. Las mujeres han ganado peso relativo en el conjunto de personas afiliadas en la Seguridad Social y lo han perdido en el paro registrado. No es una diferencia relevante, pero sí que es un comportamiento opuesto al registrado durante la fase de recuperación de la anterior crisis. </w:t>
      </w:r>
    </w:p>
    <w:p w14:paraId="32ABE24F" w14:textId="77777777" w:rsidR="00E56195" w:rsidRDefault="00E56195" w:rsidP="00E56195">
      <w:pPr>
        <w:pStyle w:val="Prrafodelista"/>
        <w:widowControl/>
        <w:numPr>
          <w:ilvl w:val="0"/>
          <w:numId w:val="5"/>
        </w:numPr>
        <w:spacing w:after="160" w:line="259" w:lineRule="auto"/>
        <w:jc w:val="left"/>
      </w:pPr>
      <w:r w:rsidRPr="001F6293">
        <w:rPr>
          <w:b/>
          <w:bCs/>
        </w:rPr>
        <w:t>Jóvenes más afectados</w:t>
      </w:r>
      <w:r>
        <w:t>: el peso de los menores de 25 años en el conjunto de los parados registrados en el SEPE ha pasado del 7,3% al 7,7%. El resto de estadísticas de mercado de trabajo también apuntan a un mayor impacto entre los jóvenes; pero también que la fuerte reactivación laboral de los últimos meses les tiene como protagonistas a ellos. Una cuestión que merece seguimiento.</w:t>
      </w:r>
    </w:p>
    <w:p w14:paraId="0715B0C4" w14:textId="77777777" w:rsidR="00E56195" w:rsidRDefault="00E56195" w:rsidP="00E56195">
      <w:pPr>
        <w:ind w:left="360"/>
      </w:pPr>
    </w:p>
    <w:p w14:paraId="662B0E4A" w14:textId="77777777" w:rsidR="00E56195" w:rsidRDefault="00E56195" w:rsidP="00E56195"/>
    <w:tbl>
      <w:tblPr>
        <w:tblStyle w:val="Tablaconcuadrculaclara"/>
        <w:tblW w:w="8853" w:type="dxa"/>
        <w:tblLook w:val="04A0" w:firstRow="1" w:lastRow="0" w:firstColumn="1" w:lastColumn="0" w:noHBand="0" w:noVBand="1"/>
      </w:tblPr>
      <w:tblGrid>
        <w:gridCol w:w="4530"/>
        <w:gridCol w:w="2260"/>
        <w:gridCol w:w="2063"/>
      </w:tblGrid>
      <w:tr w:rsidR="00E56195" w14:paraId="57A7E705" w14:textId="77777777" w:rsidTr="00002E2C">
        <w:tc>
          <w:tcPr>
            <w:tcW w:w="4530" w:type="dxa"/>
          </w:tcPr>
          <w:p w14:paraId="1CD02AD7" w14:textId="77777777" w:rsidR="00E56195" w:rsidRDefault="00E56195" w:rsidP="00002E2C"/>
        </w:tc>
        <w:tc>
          <w:tcPr>
            <w:tcW w:w="2260" w:type="dxa"/>
          </w:tcPr>
          <w:p w14:paraId="79083A8A" w14:textId="77777777" w:rsidR="00E56195" w:rsidRDefault="00E56195" w:rsidP="00002E2C">
            <w:pPr>
              <w:pStyle w:val="Ttulo2"/>
              <w:outlineLvl w:val="1"/>
            </w:pPr>
            <w:r>
              <w:t>Julio 2019</w:t>
            </w:r>
          </w:p>
        </w:tc>
        <w:tc>
          <w:tcPr>
            <w:tcW w:w="2063" w:type="dxa"/>
          </w:tcPr>
          <w:p w14:paraId="4BBAC86D" w14:textId="77777777" w:rsidR="00E56195" w:rsidRDefault="00E56195" w:rsidP="00002E2C">
            <w:pPr>
              <w:pStyle w:val="Ttulo2"/>
              <w:outlineLvl w:val="1"/>
            </w:pPr>
            <w:r>
              <w:t>Julio 2021</w:t>
            </w:r>
          </w:p>
        </w:tc>
      </w:tr>
    </w:tbl>
    <w:p w14:paraId="5F569A75" w14:textId="77777777" w:rsidR="00E56195" w:rsidRDefault="00E56195" w:rsidP="00E56195"/>
    <w:tbl>
      <w:tblPr>
        <w:tblStyle w:val="Tablaconcuadrcula1clara-nfasis1"/>
        <w:tblW w:w="8853" w:type="dxa"/>
        <w:tblLook w:val="04A0" w:firstRow="1" w:lastRow="0" w:firstColumn="1" w:lastColumn="0" w:noHBand="0" w:noVBand="1"/>
      </w:tblPr>
      <w:tblGrid>
        <w:gridCol w:w="2265"/>
        <w:gridCol w:w="2265"/>
        <w:gridCol w:w="2260"/>
        <w:gridCol w:w="2063"/>
      </w:tblGrid>
      <w:tr w:rsidR="00E56195" w14:paraId="772B043B" w14:textId="77777777" w:rsidTr="00002E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gridSpan w:val="2"/>
          </w:tcPr>
          <w:p w14:paraId="18706D12" w14:textId="77777777" w:rsidR="00E56195" w:rsidRDefault="00E56195" w:rsidP="00002E2C">
            <w:pPr>
              <w:pStyle w:val="Ttulo2"/>
              <w:outlineLvl w:val="1"/>
            </w:pPr>
            <w:r>
              <w:t>Afiliación (Seguridad Social)</w:t>
            </w:r>
          </w:p>
        </w:tc>
        <w:tc>
          <w:tcPr>
            <w:tcW w:w="2260" w:type="dxa"/>
          </w:tcPr>
          <w:p w14:paraId="2C151AF7" w14:textId="77777777" w:rsidR="00E56195" w:rsidRPr="000E296F" w:rsidRDefault="00E56195" w:rsidP="00002E2C">
            <w:pPr>
              <w:cnfStyle w:val="100000000000" w:firstRow="1" w:lastRow="0" w:firstColumn="0" w:lastColumn="0" w:oddVBand="0" w:evenVBand="0" w:oddHBand="0" w:evenHBand="0" w:firstRowFirstColumn="0" w:firstRowLastColumn="0" w:lastRowFirstColumn="0" w:lastRowLastColumn="0"/>
            </w:pPr>
            <w:r w:rsidRPr="000E296F">
              <w:t>19.533.211</w:t>
            </w:r>
          </w:p>
        </w:tc>
        <w:tc>
          <w:tcPr>
            <w:tcW w:w="2063" w:type="dxa"/>
          </w:tcPr>
          <w:p w14:paraId="40B83DE3" w14:textId="77777777" w:rsidR="00E56195" w:rsidRDefault="00E56195" w:rsidP="00002E2C">
            <w:pPr>
              <w:cnfStyle w:val="100000000000" w:firstRow="1" w:lastRow="0" w:firstColumn="0" w:lastColumn="0" w:oddVBand="0" w:evenVBand="0" w:oddHBand="0" w:evenHBand="0" w:firstRowFirstColumn="0" w:firstRowLastColumn="0" w:lastRowFirstColumn="0" w:lastRowLastColumn="0"/>
            </w:pPr>
            <w:r w:rsidRPr="000E296F">
              <w:t>19</w:t>
            </w:r>
            <w:r>
              <w:t>.</w:t>
            </w:r>
            <w:r w:rsidRPr="000E296F">
              <w:t>591</w:t>
            </w:r>
            <w:r>
              <w:t>.</w:t>
            </w:r>
            <w:r w:rsidRPr="000E296F">
              <w:t>72</w:t>
            </w:r>
            <w:r>
              <w:t>8</w:t>
            </w:r>
          </w:p>
        </w:tc>
      </w:tr>
      <w:tr w:rsidR="00E56195" w14:paraId="797E9953" w14:textId="77777777" w:rsidTr="00002E2C">
        <w:tc>
          <w:tcPr>
            <w:cnfStyle w:val="001000000000" w:firstRow="0" w:lastRow="0" w:firstColumn="1" w:lastColumn="0" w:oddVBand="0" w:evenVBand="0" w:oddHBand="0" w:evenHBand="0" w:firstRowFirstColumn="0" w:firstRowLastColumn="0" w:lastRowFirstColumn="0" w:lastRowLastColumn="0"/>
            <w:tcW w:w="2265" w:type="dxa"/>
            <w:vMerge w:val="restart"/>
          </w:tcPr>
          <w:p w14:paraId="484E324F" w14:textId="77777777" w:rsidR="00E56195" w:rsidRPr="00866DD4" w:rsidRDefault="00E56195" w:rsidP="00002E2C">
            <w:pPr>
              <w:jc w:val="right"/>
            </w:pPr>
            <w:r w:rsidRPr="00866DD4">
              <w:t>Sexos</w:t>
            </w:r>
          </w:p>
        </w:tc>
        <w:tc>
          <w:tcPr>
            <w:tcW w:w="2265" w:type="dxa"/>
          </w:tcPr>
          <w:p w14:paraId="7AECE9AC" w14:textId="77777777" w:rsidR="00E56195" w:rsidRDefault="00E56195" w:rsidP="00002E2C">
            <w:pPr>
              <w:jc w:val="right"/>
              <w:cnfStyle w:val="000000000000" w:firstRow="0" w:lastRow="0" w:firstColumn="0" w:lastColumn="0" w:oddVBand="0" w:evenVBand="0" w:oddHBand="0" w:evenHBand="0" w:firstRowFirstColumn="0" w:firstRowLastColumn="0" w:lastRowFirstColumn="0" w:lastRowLastColumn="0"/>
            </w:pPr>
            <w:r>
              <w:t>Hombres</w:t>
            </w:r>
          </w:p>
        </w:tc>
        <w:tc>
          <w:tcPr>
            <w:tcW w:w="2260" w:type="dxa"/>
          </w:tcPr>
          <w:p w14:paraId="6DCD57AE" w14:textId="77777777" w:rsidR="00E56195" w:rsidRDefault="00E56195" w:rsidP="00002E2C">
            <w:pPr>
              <w:cnfStyle w:val="000000000000" w:firstRow="0" w:lastRow="0" w:firstColumn="0" w:lastColumn="0" w:oddVBand="0" w:evenVBand="0" w:oddHBand="0" w:evenHBand="0" w:firstRowFirstColumn="0" w:firstRowLastColumn="0" w:lastRowFirstColumn="0" w:lastRowLastColumn="0"/>
            </w:pPr>
            <w:r>
              <w:t>53,9%</w:t>
            </w:r>
          </w:p>
        </w:tc>
        <w:tc>
          <w:tcPr>
            <w:tcW w:w="2063" w:type="dxa"/>
          </w:tcPr>
          <w:p w14:paraId="79A99323" w14:textId="77777777" w:rsidR="00E56195" w:rsidRDefault="00E56195" w:rsidP="00002E2C">
            <w:pPr>
              <w:cnfStyle w:val="000000000000" w:firstRow="0" w:lastRow="0" w:firstColumn="0" w:lastColumn="0" w:oddVBand="0" w:evenVBand="0" w:oddHBand="0" w:evenHBand="0" w:firstRowFirstColumn="0" w:firstRowLastColumn="0" w:lastRowFirstColumn="0" w:lastRowLastColumn="0"/>
            </w:pPr>
            <w:r>
              <w:t>53,7%</w:t>
            </w:r>
          </w:p>
        </w:tc>
      </w:tr>
      <w:tr w:rsidR="00E56195" w14:paraId="50FF62DA" w14:textId="77777777" w:rsidTr="00002E2C">
        <w:tc>
          <w:tcPr>
            <w:cnfStyle w:val="001000000000" w:firstRow="0" w:lastRow="0" w:firstColumn="1" w:lastColumn="0" w:oddVBand="0" w:evenVBand="0" w:oddHBand="0" w:evenHBand="0" w:firstRowFirstColumn="0" w:firstRowLastColumn="0" w:lastRowFirstColumn="0" w:lastRowLastColumn="0"/>
            <w:tcW w:w="2265" w:type="dxa"/>
            <w:vMerge/>
          </w:tcPr>
          <w:p w14:paraId="08CD0FD9" w14:textId="77777777" w:rsidR="00E56195" w:rsidRPr="00866DD4" w:rsidRDefault="00E56195" w:rsidP="00002E2C">
            <w:pPr>
              <w:jc w:val="right"/>
            </w:pPr>
          </w:p>
        </w:tc>
        <w:tc>
          <w:tcPr>
            <w:tcW w:w="2265" w:type="dxa"/>
          </w:tcPr>
          <w:p w14:paraId="3DE5B3B3" w14:textId="77777777" w:rsidR="00E56195" w:rsidRDefault="00E56195" w:rsidP="00002E2C">
            <w:pPr>
              <w:jc w:val="right"/>
              <w:cnfStyle w:val="000000000000" w:firstRow="0" w:lastRow="0" w:firstColumn="0" w:lastColumn="0" w:oddVBand="0" w:evenVBand="0" w:oddHBand="0" w:evenHBand="0" w:firstRowFirstColumn="0" w:firstRowLastColumn="0" w:lastRowFirstColumn="0" w:lastRowLastColumn="0"/>
            </w:pPr>
            <w:r>
              <w:t>Mujeres</w:t>
            </w:r>
          </w:p>
        </w:tc>
        <w:tc>
          <w:tcPr>
            <w:tcW w:w="2260" w:type="dxa"/>
          </w:tcPr>
          <w:p w14:paraId="302BB8E3" w14:textId="77777777" w:rsidR="00E56195" w:rsidRDefault="00E56195" w:rsidP="00002E2C">
            <w:pPr>
              <w:cnfStyle w:val="000000000000" w:firstRow="0" w:lastRow="0" w:firstColumn="0" w:lastColumn="0" w:oddVBand="0" w:evenVBand="0" w:oddHBand="0" w:evenHBand="0" w:firstRowFirstColumn="0" w:firstRowLastColumn="0" w:lastRowFirstColumn="0" w:lastRowLastColumn="0"/>
            </w:pPr>
            <w:r>
              <w:t>46,1%</w:t>
            </w:r>
          </w:p>
        </w:tc>
        <w:tc>
          <w:tcPr>
            <w:tcW w:w="2063" w:type="dxa"/>
          </w:tcPr>
          <w:p w14:paraId="1860B4A8" w14:textId="77777777" w:rsidR="00E56195" w:rsidRDefault="00E56195" w:rsidP="00002E2C">
            <w:pPr>
              <w:cnfStyle w:val="000000000000" w:firstRow="0" w:lastRow="0" w:firstColumn="0" w:lastColumn="0" w:oddVBand="0" w:evenVBand="0" w:oddHBand="0" w:evenHBand="0" w:firstRowFirstColumn="0" w:firstRowLastColumn="0" w:lastRowFirstColumn="0" w:lastRowLastColumn="0"/>
            </w:pPr>
            <w:r>
              <w:t>46,3%</w:t>
            </w:r>
          </w:p>
        </w:tc>
      </w:tr>
      <w:tr w:rsidR="00E56195" w14:paraId="48AE94A2" w14:textId="77777777" w:rsidTr="00002E2C">
        <w:tc>
          <w:tcPr>
            <w:cnfStyle w:val="001000000000" w:firstRow="0" w:lastRow="0" w:firstColumn="1" w:lastColumn="0" w:oddVBand="0" w:evenVBand="0" w:oddHBand="0" w:evenHBand="0" w:firstRowFirstColumn="0" w:firstRowLastColumn="0" w:lastRowFirstColumn="0" w:lastRowLastColumn="0"/>
            <w:tcW w:w="2265" w:type="dxa"/>
            <w:vMerge w:val="restart"/>
          </w:tcPr>
          <w:p w14:paraId="70802C85" w14:textId="77777777" w:rsidR="00E56195" w:rsidRPr="00866DD4" w:rsidRDefault="00E56195" w:rsidP="00002E2C">
            <w:pPr>
              <w:jc w:val="right"/>
            </w:pPr>
            <w:r w:rsidRPr="00866DD4">
              <w:t>Nacionalidad</w:t>
            </w:r>
          </w:p>
        </w:tc>
        <w:tc>
          <w:tcPr>
            <w:tcW w:w="2265" w:type="dxa"/>
          </w:tcPr>
          <w:p w14:paraId="0038D6AB" w14:textId="77777777" w:rsidR="00E56195" w:rsidRDefault="00E56195" w:rsidP="00002E2C">
            <w:pPr>
              <w:jc w:val="right"/>
              <w:cnfStyle w:val="000000000000" w:firstRow="0" w:lastRow="0" w:firstColumn="0" w:lastColumn="0" w:oddVBand="0" w:evenVBand="0" w:oddHBand="0" w:evenHBand="0" w:firstRowFirstColumn="0" w:firstRowLastColumn="0" w:lastRowFirstColumn="0" w:lastRowLastColumn="0"/>
            </w:pPr>
            <w:r>
              <w:t>Españoles</w:t>
            </w:r>
          </w:p>
        </w:tc>
        <w:tc>
          <w:tcPr>
            <w:tcW w:w="2260" w:type="dxa"/>
          </w:tcPr>
          <w:p w14:paraId="1F900469" w14:textId="77777777" w:rsidR="00E56195" w:rsidRDefault="00E56195" w:rsidP="00002E2C">
            <w:pPr>
              <w:cnfStyle w:val="000000000000" w:firstRow="0" w:lastRow="0" w:firstColumn="0" w:lastColumn="0" w:oddVBand="0" w:evenVBand="0" w:oddHBand="0" w:evenHBand="0" w:firstRowFirstColumn="0" w:firstRowLastColumn="0" w:lastRowFirstColumn="0" w:lastRowLastColumn="0"/>
            </w:pPr>
            <w:r>
              <w:t>88,9%</w:t>
            </w:r>
          </w:p>
        </w:tc>
        <w:tc>
          <w:tcPr>
            <w:tcW w:w="2063" w:type="dxa"/>
          </w:tcPr>
          <w:p w14:paraId="73060304" w14:textId="77777777" w:rsidR="00E56195" w:rsidRDefault="00E56195" w:rsidP="00002E2C">
            <w:pPr>
              <w:cnfStyle w:val="000000000000" w:firstRow="0" w:lastRow="0" w:firstColumn="0" w:lastColumn="0" w:oddVBand="0" w:evenVBand="0" w:oddHBand="0" w:evenHBand="0" w:firstRowFirstColumn="0" w:firstRowLastColumn="0" w:lastRowFirstColumn="0" w:lastRowLastColumn="0"/>
            </w:pPr>
            <w:r>
              <w:t>88,6%</w:t>
            </w:r>
          </w:p>
        </w:tc>
      </w:tr>
      <w:tr w:rsidR="00E56195" w14:paraId="6C3BF8E5" w14:textId="77777777" w:rsidTr="00002E2C">
        <w:tc>
          <w:tcPr>
            <w:cnfStyle w:val="001000000000" w:firstRow="0" w:lastRow="0" w:firstColumn="1" w:lastColumn="0" w:oddVBand="0" w:evenVBand="0" w:oddHBand="0" w:evenHBand="0" w:firstRowFirstColumn="0" w:firstRowLastColumn="0" w:lastRowFirstColumn="0" w:lastRowLastColumn="0"/>
            <w:tcW w:w="2265" w:type="dxa"/>
            <w:vMerge/>
          </w:tcPr>
          <w:p w14:paraId="6C88DF25" w14:textId="77777777" w:rsidR="00E56195" w:rsidRPr="00866DD4" w:rsidRDefault="00E56195" w:rsidP="00002E2C">
            <w:pPr>
              <w:jc w:val="right"/>
            </w:pPr>
          </w:p>
        </w:tc>
        <w:tc>
          <w:tcPr>
            <w:tcW w:w="2265" w:type="dxa"/>
          </w:tcPr>
          <w:p w14:paraId="59E5758B" w14:textId="77777777" w:rsidR="00E56195" w:rsidRDefault="00E56195" w:rsidP="00002E2C">
            <w:pPr>
              <w:jc w:val="right"/>
              <w:cnfStyle w:val="000000000000" w:firstRow="0" w:lastRow="0" w:firstColumn="0" w:lastColumn="0" w:oddVBand="0" w:evenVBand="0" w:oddHBand="0" w:evenHBand="0" w:firstRowFirstColumn="0" w:firstRowLastColumn="0" w:lastRowFirstColumn="0" w:lastRowLastColumn="0"/>
            </w:pPr>
            <w:r>
              <w:t>Extranjeros</w:t>
            </w:r>
          </w:p>
        </w:tc>
        <w:tc>
          <w:tcPr>
            <w:tcW w:w="2260" w:type="dxa"/>
          </w:tcPr>
          <w:p w14:paraId="52DB2CF0" w14:textId="77777777" w:rsidR="00E56195" w:rsidRDefault="00E56195" w:rsidP="00002E2C">
            <w:pPr>
              <w:cnfStyle w:val="000000000000" w:firstRow="0" w:lastRow="0" w:firstColumn="0" w:lastColumn="0" w:oddVBand="0" w:evenVBand="0" w:oddHBand="0" w:evenHBand="0" w:firstRowFirstColumn="0" w:firstRowLastColumn="0" w:lastRowFirstColumn="0" w:lastRowLastColumn="0"/>
            </w:pPr>
            <w:r>
              <w:t>11,1%</w:t>
            </w:r>
          </w:p>
        </w:tc>
        <w:tc>
          <w:tcPr>
            <w:tcW w:w="2063" w:type="dxa"/>
          </w:tcPr>
          <w:p w14:paraId="3D57CC0E" w14:textId="77777777" w:rsidR="00E56195" w:rsidRDefault="00E56195" w:rsidP="00002E2C">
            <w:pPr>
              <w:cnfStyle w:val="000000000000" w:firstRow="0" w:lastRow="0" w:firstColumn="0" w:lastColumn="0" w:oddVBand="0" w:evenVBand="0" w:oddHBand="0" w:evenHBand="0" w:firstRowFirstColumn="0" w:firstRowLastColumn="0" w:lastRowFirstColumn="0" w:lastRowLastColumn="0"/>
            </w:pPr>
            <w:r>
              <w:t>11,4%</w:t>
            </w:r>
          </w:p>
        </w:tc>
      </w:tr>
      <w:tr w:rsidR="00E56195" w14:paraId="5890FBFF" w14:textId="77777777" w:rsidTr="00002E2C">
        <w:tc>
          <w:tcPr>
            <w:cnfStyle w:val="001000000000" w:firstRow="0" w:lastRow="0" w:firstColumn="1" w:lastColumn="0" w:oddVBand="0" w:evenVBand="0" w:oddHBand="0" w:evenHBand="0" w:firstRowFirstColumn="0" w:firstRowLastColumn="0" w:lastRowFirstColumn="0" w:lastRowLastColumn="0"/>
            <w:tcW w:w="2265" w:type="dxa"/>
            <w:vMerge w:val="restart"/>
          </w:tcPr>
          <w:p w14:paraId="53C851CA" w14:textId="77777777" w:rsidR="00E56195" w:rsidRPr="00866DD4" w:rsidRDefault="00E56195" w:rsidP="00002E2C">
            <w:pPr>
              <w:jc w:val="right"/>
            </w:pPr>
            <w:r w:rsidRPr="00866DD4">
              <w:t>Sectores</w:t>
            </w:r>
          </w:p>
        </w:tc>
        <w:tc>
          <w:tcPr>
            <w:tcW w:w="2265" w:type="dxa"/>
          </w:tcPr>
          <w:p w14:paraId="46F6A21A" w14:textId="77777777" w:rsidR="00E56195" w:rsidRDefault="00E56195" w:rsidP="00002E2C">
            <w:pPr>
              <w:jc w:val="right"/>
              <w:cnfStyle w:val="000000000000" w:firstRow="0" w:lastRow="0" w:firstColumn="0" w:lastColumn="0" w:oddVBand="0" w:evenVBand="0" w:oddHBand="0" w:evenHBand="0" w:firstRowFirstColumn="0" w:firstRowLastColumn="0" w:lastRowFirstColumn="0" w:lastRowLastColumn="0"/>
            </w:pPr>
            <w:r>
              <w:t>Agricultura</w:t>
            </w:r>
          </w:p>
        </w:tc>
        <w:tc>
          <w:tcPr>
            <w:tcW w:w="2260" w:type="dxa"/>
          </w:tcPr>
          <w:p w14:paraId="7EB5929D" w14:textId="77777777" w:rsidR="00E56195" w:rsidRDefault="00E56195" w:rsidP="00002E2C">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5,6%</w:t>
            </w:r>
          </w:p>
        </w:tc>
        <w:tc>
          <w:tcPr>
            <w:tcW w:w="2063" w:type="dxa"/>
          </w:tcPr>
          <w:p w14:paraId="16C682B4" w14:textId="77777777" w:rsidR="00E56195" w:rsidRDefault="00E56195" w:rsidP="00002E2C">
            <w:pPr>
              <w:cnfStyle w:val="000000000000" w:firstRow="0" w:lastRow="0" w:firstColumn="0" w:lastColumn="0" w:oddVBand="0" w:evenVBand="0" w:oddHBand="0" w:evenHBand="0" w:firstRowFirstColumn="0" w:firstRowLastColumn="0" w:lastRowFirstColumn="0" w:lastRowLastColumn="0"/>
            </w:pPr>
            <w:r w:rsidRPr="00172204">
              <w:t>5,8%</w:t>
            </w:r>
          </w:p>
        </w:tc>
      </w:tr>
      <w:tr w:rsidR="00E56195" w14:paraId="4E966C25" w14:textId="77777777" w:rsidTr="00002E2C">
        <w:tc>
          <w:tcPr>
            <w:cnfStyle w:val="001000000000" w:firstRow="0" w:lastRow="0" w:firstColumn="1" w:lastColumn="0" w:oddVBand="0" w:evenVBand="0" w:oddHBand="0" w:evenHBand="0" w:firstRowFirstColumn="0" w:firstRowLastColumn="0" w:lastRowFirstColumn="0" w:lastRowLastColumn="0"/>
            <w:tcW w:w="2265" w:type="dxa"/>
            <w:vMerge/>
          </w:tcPr>
          <w:p w14:paraId="4D203FDA" w14:textId="77777777" w:rsidR="00E56195" w:rsidRPr="00866DD4" w:rsidRDefault="00E56195" w:rsidP="00002E2C"/>
        </w:tc>
        <w:tc>
          <w:tcPr>
            <w:tcW w:w="2265" w:type="dxa"/>
          </w:tcPr>
          <w:p w14:paraId="693E5C58" w14:textId="77777777" w:rsidR="00E56195" w:rsidRDefault="00E56195" w:rsidP="00002E2C">
            <w:pPr>
              <w:jc w:val="right"/>
              <w:cnfStyle w:val="000000000000" w:firstRow="0" w:lastRow="0" w:firstColumn="0" w:lastColumn="0" w:oddVBand="0" w:evenVBand="0" w:oddHBand="0" w:evenHBand="0" w:firstRowFirstColumn="0" w:firstRowLastColumn="0" w:lastRowFirstColumn="0" w:lastRowLastColumn="0"/>
            </w:pPr>
            <w:r>
              <w:t>Industria</w:t>
            </w:r>
          </w:p>
        </w:tc>
        <w:tc>
          <w:tcPr>
            <w:tcW w:w="2260" w:type="dxa"/>
          </w:tcPr>
          <w:p w14:paraId="1869871E" w14:textId="77777777" w:rsidR="00E56195" w:rsidRDefault="00E56195" w:rsidP="00002E2C">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11,9%</w:t>
            </w:r>
          </w:p>
        </w:tc>
        <w:tc>
          <w:tcPr>
            <w:tcW w:w="2063" w:type="dxa"/>
          </w:tcPr>
          <w:p w14:paraId="23715A00" w14:textId="77777777" w:rsidR="00E56195" w:rsidRDefault="00E56195" w:rsidP="00002E2C">
            <w:pPr>
              <w:cnfStyle w:val="000000000000" w:firstRow="0" w:lastRow="0" w:firstColumn="0" w:lastColumn="0" w:oddVBand="0" w:evenVBand="0" w:oddHBand="0" w:evenHBand="0" w:firstRowFirstColumn="0" w:firstRowLastColumn="0" w:lastRowFirstColumn="0" w:lastRowLastColumn="0"/>
            </w:pPr>
            <w:r w:rsidRPr="00172204">
              <w:t>11,7%</w:t>
            </w:r>
          </w:p>
        </w:tc>
      </w:tr>
      <w:tr w:rsidR="00E56195" w14:paraId="0C23A0DF" w14:textId="77777777" w:rsidTr="00002E2C">
        <w:tc>
          <w:tcPr>
            <w:cnfStyle w:val="001000000000" w:firstRow="0" w:lastRow="0" w:firstColumn="1" w:lastColumn="0" w:oddVBand="0" w:evenVBand="0" w:oddHBand="0" w:evenHBand="0" w:firstRowFirstColumn="0" w:firstRowLastColumn="0" w:lastRowFirstColumn="0" w:lastRowLastColumn="0"/>
            <w:tcW w:w="2265" w:type="dxa"/>
            <w:vMerge/>
          </w:tcPr>
          <w:p w14:paraId="7BBF9F7B" w14:textId="77777777" w:rsidR="00E56195" w:rsidRPr="00866DD4" w:rsidRDefault="00E56195" w:rsidP="00002E2C"/>
        </w:tc>
        <w:tc>
          <w:tcPr>
            <w:tcW w:w="2265" w:type="dxa"/>
          </w:tcPr>
          <w:p w14:paraId="01561BF0" w14:textId="77777777" w:rsidR="00E56195" w:rsidRDefault="00E56195" w:rsidP="00002E2C">
            <w:pPr>
              <w:jc w:val="right"/>
              <w:cnfStyle w:val="000000000000" w:firstRow="0" w:lastRow="0" w:firstColumn="0" w:lastColumn="0" w:oddVBand="0" w:evenVBand="0" w:oddHBand="0" w:evenHBand="0" w:firstRowFirstColumn="0" w:firstRowLastColumn="0" w:lastRowFirstColumn="0" w:lastRowLastColumn="0"/>
            </w:pPr>
            <w:r>
              <w:t>Construcción</w:t>
            </w:r>
          </w:p>
        </w:tc>
        <w:tc>
          <w:tcPr>
            <w:tcW w:w="2260" w:type="dxa"/>
          </w:tcPr>
          <w:p w14:paraId="5F7A692D" w14:textId="77777777" w:rsidR="00E56195" w:rsidRDefault="00E56195" w:rsidP="00002E2C">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6,5%</w:t>
            </w:r>
          </w:p>
        </w:tc>
        <w:tc>
          <w:tcPr>
            <w:tcW w:w="2063" w:type="dxa"/>
          </w:tcPr>
          <w:p w14:paraId="7621DCE1" w14:textId="77777777" w:rsidR="00E56195" w:rsidRDefault="00E56195" w:rsidP="00002E2C">
            <w:pPr>
              <w:cnfStyle w:val="000000000000" w:firstRow="0" w:lastRow="0" w:firstColumn="0" w:lastColumn="0" w:oddVBand="0" w:evenVBand="0" w:oddHBand="0" w:evenHBand="0" w:firstRowFirstColumn="0" w:firstRowLastColumn="0" w:lastRowFirstColumn="0" w:lastRowLastColumn="0"/>
            </w:pPr>
            <w:r w:rsidRPr="00172204">
              <w:t>6,6%</w:t>
            </w:r>
          </w:p>
        </w:tc>
      </w:tr>
      <w:tr w:rsidR="00E56195" w14:paraId="5A6EAEB1" w14:textId="77777777" w:rsidTr="00002E2C">
        <w:tc>
          <w:tcPr>
            <w:cnfStyle w:val="001000000000" w:firstRow="0" w:lastRow="0" w:firstColumn="1" w:lastColumn="0" w:oddVBand="0" w:evenVBand="0" w:oddHBand="0" w:evenHBand="0" w:firstRowFirstColumn="0" w:firstRowLastColumn="0" w:lastRowFirstColumn="0" w:lastRowLastColumn="0"/>
            <w:tcW w:w="2265" w:type="dxa"/>
            <w:vMerge/>
          </w:tcPr>
          <w:p w14:paraId="4DDF4BAD" w14:textId="77777777" w:rsidR="00E56195" w:rsidRPr="00866DD4" w:rsidRDefault="00E56195" w:rsidP="00002E2C"/>
        </w:tc>
        <w:tc>
          <w:tcPr>
            <w:tcW w:w="2265" w:type="dxa"/>
          </w:tcPr>
          <w:p w14:paraId="0A66FC53" w14:textId="77777777" w:rsidR="00E56195" w:rsidRDefault="00E56195" w:rsidP="00002E2C">
            <w:pPr>
              <w:jc w:val="right"/>
              <w:cnfStyle w:val="000000000000" w:firstRow="0" w:lastRow="0" w:firstColumn="0" w:lastColumn="0" w:oddVBand="0" w:evenVBand="0" w:oddHBand="0" w:evenHBand="0" w:firstRowFirstColumn="0" w:firstRowLastColumn="0" w:lastRowFirstColumn="0" w:lastRowLastColumn="0"/>
            </w:pPr>
            <w:r>
              <w:t>Servicios</w:t>
            </w:r>
          </w:p>
        </w:tc>
        <w:tc>
          <w:tcPr>
            <w:tcW w:w="2260" w:type="dxa"/>
          </w:tcPr>
          <w:p w14:paraId="2BEAB2C7" w14:textId="77777777" w:rsidR="00E56195" w:rsidRDefault="00E56195" w:rsidP="00002E2C">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75,7%</w:t>
            </w:r>
          </w:p>
        </w:tc>
        <w:tc>
          <w:tcPr>
            <w:tcW w:w="2063" w:type="dxa"/>
          </w:tcPr>
          <w:p w14:paraId="65D93FBA" w14:textId="77777777" w:rsidR="00E56195" w:rsidRDefault="00E56195" w:rsidP="00002E2C">
            <w:pPr>
              <w:cnfStyle w:val="000000000000" w:firstRow="0" w:lastRow="0" w:firstColumn="0" w:lastColumn="0" w:oddVBand="0" w:evenVBand="0" w:oddHBand="0" w:evenHBand="0" w:firstRowFirstColumn="0" w:firstRowLastColumn="0" w:lastRowFirstColumn="0" w:lastRowLastColumn="0"/>
            </w:pPr>
            <w:r w:rsidRPr="00172204">
              <w:t>75,9%</w:t>
            </w:r>
          </w:p>
        </w:tc>
      </w:tr>
      <w:tr w:rsidR="00E56195" w14:paraId="607D8574" w14:textId="77777777" w:rsidTr="00002E2C">
        <w:tc>
          <w:tcPr>
            <w:cnfStyle w:val="001000000000" w:firstRow="0" w:lastRow="0" w:firstColumn="1" w:lastColumn="0" w:oddVBand="0" w:evenVBand="0" w:oddHBand="0" w:evenHBand="0" w:firstRowFirstColumn="0" w:firstRowLastColumn="0" w:lastRowFirstColumn="0" w:lastRowLastColumn="0"/>
            <w:tcW w:w="4530" w:type="dxa"/>
            <w:gridSpan w:val="2"/>
          </w:tcPr>
          <w:p w14:paraId="63309A42" w14:textId="77777777" w:rsidR="00E56195" w:rsidRDefault="00E56195" w:rsidP="00002E2C">
            <w:r w:rsidRPr="00866DD4">
              <w:t>Afectados por ERTE</w:t>
            </w:r>
          </w:p>
        </w:tc>
        <w:tc>
          <w:tcPr>
            <w:tcW w:w="2260" w:type="dxa"/>
          </w:tcPr>
          <w:p w14:paraId="5A9ACDA3" w14:textId="77777777" w:rsidR="00E56195" w:rsidRDefault="00E56195" w:rsidP="00002E2C">
            <w:pPr>
              <w:cnfStyle w:val="000000000000" w:firstRow="0" w:lastRow="0" w:firstColumn="0" w:lastColumn="0" w:oddVBand="0" w:evenVBand="0" w:oddHBand="0" w:evenHBand="0" w:firstRowFirstColumn="0" w:firstRowLastColumn="0" w:lastRowFirstColumn="0" w:lastRowLastColumn="0"/>
            </w:pPr>
            <w:r>
              <w:t>n. a.</w:t>
            </w:r>
          </w:p>
        </w:tc>
        <w:tc>
          <w:tcPr>
            <w:tcW w:w="2063" w:type="dxa"/>
          </w:tcPr>
          <w:p w14:paraId="7FCFC31F" w14:textId="77777777" w:rsidR="00E56195" w:rsidRDefault="00E56195" w:rsidP="00002E2C">
            <w:pPr>
              <w:cnfStyle w:val="000000000000" w:firstRow="0" w:lastRow="0" w:firstColumn="0" w:lastColumn="0" w:oddVBand="0" w:evenVBand="0" w:oddHBand="0" w:evenHBand="0" w:firstRowFirstColumn="0" w:firstRowLastColumn="0" w:lastRowFirstColumn="0" w:lastRowLastColumn="0"/>
            </w:pPr>
            <w:r>
              <w:t>331.486</w:t>
            </w:r>
          </w:p>
        </w:tc>
      </w:tr>
    </w:tbl>
    <w:p w14:paraId="4A75A375" w14:textId="77777777" w:rsidR="00E56195" w:rsidRDefault="00E56195" w:rsidP="00E56195"/>
    <w:tbl>
      <w:tblPr>
        <w:tblStyle w:val="Tablaconcuadrculaclara"/>
        <w:tblW w:w="8853" w:type="dxa"/>
        <w:tblLook w:val="04A0" w:firstRow="1" w:lastRow="0" w:firstColumn="1" w:lastColumn="0" w:noHBand="0" w:noVBand="1"/>
      </w:tblPr>
      <w:tblGrid>
        <w:gridCol w:w="2265"/>
        <w:gridCol w:w="2265"/>
        <w:gridCol w:w="2260"/>
        <w:gridCol w:w="2063"/>
      </w:tblGrid>
      <w:tr w:rsidR="00E56195" w14:paraId="1F61C751" w14:textId="77777777" w:rsidTr="00002E2C">
        <w:tc>
          <w:tcPr>
            <w:tcW w:w="4530" w:type="dxa"/>
            <w:gridSpan w:val="2"/>
          </w:tcPr>
          <w:p w14:paraId="1E0CA40F" w14:textId="77777777" w:rsidR="00E56195" w:rsidRDefault="00E56195" w:rsidP="00002E2C">
            <w:pPr>
              <w:pStyle w:val="Ttulo2"/>
              <w:outlineLvl w:val="1"/>
            </w:pPr>
            <w:r>
              <w:t>Paro registrado (SEPE)</w:t>
            </w:r>
          </w:p>
        </w:tc>
        <w:tc>
          <w:tcPr>
            <w:tcW w:w="2260" w:type="dxa"/>
          </w:tcPr>
          <w:p w14:paraId="65FEA425" w14:textId="77777777" w:rsidR="00E56195" w:rsidRPr="003F0026" w:rsidRDefault="00E56195" w:rsidP="00002E2C">
            <w:pPr>
              <w:rPr>
                <w:b/>
                <w:bCs/>
              </w:rPr>
            </w:pPr>
            <w:r w:rsidRPr="003F0026">
              <w:rPr>
                <w:b/>
                <w:bCs/>
              </w:rPr>
              <w:t>3.011.433</w:t>
            </w:r>
            <w:r w:rsidRPr="003F0026">
              <w:rPr>
                <w:b/>
                <w:bCs/>
              </w:rPr>
              <w:tab/>
            </w:r>
          </w:p>
        </w:tc>
        <w:tc>
          <w:tcPr>
            <w:tcW w:w="2063" w:type="dxa"/>
          </w:tcPr>
          <w:p w14:paraId="74EC1154" w14:textId="77777777" w:rsidR="00E56195" w:rsidRPr="009A3379" w:rsidRDefault="00E56195" w:rsidP="00002E2C">
            <w:pPr>
              <w:rPr>
                <w:b/>
                <w:bCs/>
              </w:rPr>
            </w:pPr>
            <w:r w:rsidRPr="009A3379">
              <w:rPr>
                <w:b/>
                <w:bCs/>
              </w:rPr>
              <w:t>3.416.498</w:t>
            </w:r>
            <w:r w:rsidRPr="009A3379">
              <w:rPr>
                <w:b/>
                <w:bCs/>
              </w:rPr>
              <w:tab/>
            </w:r>
          </w:p>
        </w:tc>
      </w:tr>
      <w:tr w:rsidR="00E56195" w14:paraId="0F79891A" w14:textId="77777777" w:rsidTr="00002E2C">
        <w:tc>
          <w:tcPr>
            <w:tcW w:w="2265" w:type="dxa"/>
            <w:vMerge w:val="restart"/>
          </w:tcPr>
          <w:p w14:paraId="05283563" w14:textId="77777777" w:rsidR="00E56195" w:rsidRDefault="00E56195" w:rsidP="00002E2C">
            <w:pPr>
              <w:jc w:val="right"/>
            </w:pPr>
            <w:r w:rsidRPr="00F267AD">
              <w:rPr>
                <w:b/>
                <w:bCs/>
              </w:rPr>
              <w:t>Sexos</w:t>
            </w:r>
          </w:p>
        </w:tc>
        <w:tc>
          <w:tcPr>
            <w:tcW w:w="2265" w:type="dxa"/>
          </w:tcPr>
          <w:p w14:paraId="7294CAF6" w14:textId="77777777" w:rsidR="00E56195" w:rsidRDefault="00E56195" w:rsidP="00002E2C">
            <w:pPr>
              <w:jc w:val="right"/>
            </w:pPr>
            <w:r>
              <w:t>Hombres</w:t>
            </w:r>
          </w:p>
        </w:tc>
        <w:tc>
          <w:tcPr>
            <w:tcW w:w="2260" w:type="dxa"/>
          </w:tcPr>
          <w:p w14:paraId="513B41D1" w14:textId="77777777" w:rsidR="00E56195" w:rsidRDefault="00E56195" w:rsidP="00002E2C">
            <w:r>
              <w:t>40,4%</w:t>
            </w:r>
          </w:p>
        </w:tc>
        <w:tc>
          <w:tcPr>
            <w:tcW w:w="2063" w:type="dxa"/>
            <w:vAlign w:val="bottom"/>
          </w:tcPr>
          <w:p w14:paraId="6958D1E7" w14:textId="77777777" w:rsidR="00E56195" w:rsidRDefault="00E56195" w:rsidP="00002E2C">
            <w:r>
              <w:rPr>
                <w:rFonts w:ascii="Calibri" w:hAnsi="Calibri" w:cs="Calibri"/>
                <w:color w:val="000000"/>
              </w:rPr>
              <w:t>40,9%</w:t>
            </w:r>
          </w:p>
        </w:tc>
      </w:tr>
      <w:tr w:rsidR="00E56195" w14:paraId="3E58561A" w14:textId="77777777" w:rsidTr="00002E2C">
        <w:tc>
          <w:tcPr>
            <w:tcW w:w="2265" w:type="dxa"/>
            <w:vMerge/>
          </w:tcPr>
          <w:p w14:paraId="448D596D" w14:textId="77777777" w:rsidR="00E56195" w:rsidRDefault="00E56195" w:rsidP="00002E2C">
            <w:pPr>
              <w:jc w:val="right"/>
            </w:pPr>
          </w:p>
        </w:tc>
        <w:tc>
          <w:tcPr>
            <w:tcW w:w="2265" w:type="dxa"/>
          </w:tcPr>
          <w:p w14:paraId="7DAC802A" w14:textId="77777777" w:rsidR="00E56195" w:rsidRDefault="00E56195" w:rsidP="00002E2C">
            <w:pPr>
              <w:jc w:val="right"/>
            </w:pPr>
            <w:r>
              <w:t>Mujeres</w:t>
            </w:r>
          </w:p>
        </w:tc>
        <w:tc>
          <w:tcPr>
            <w:tcW w:w="2260" w:type="dxa"/>
          </w:tcPr>
          <w:p w14:paraId="5DBDB5BB" w14:textId="77777777" w:rsidR="00E56195" w:rsidRDefault="00E56195" w:rsidP="00002E2C">
            <w:r>
              <w:t>59,6%</w:t>
            </w:r>
          </w:p>
        </w:tc>
        <w:tc>
          <w:tcPr>
            <w:tcW w:w="2063" w:type="dxa"/>
            <w:vAlign w:val="bottom"/>
          </w:tcPr>
          <w:p w14:paraId="51F1A51E" w14:textId="77777777" w:rsidR="00E56195" w:rsidRDefault="00E56195" w:rsidP="00002E2C">
            <w:r>
              <w:rPr>
                <w:rFonts w:ascii="Calibri" w:hAnsi="Calibri" w:cs="Calibri"/>
                <w:color w:val="000000"/>
              </w:rPr>
              <w:t>59,1%</w:t>
            </w:r>
          </w:p>
        </w:tc>
      </w:tr>
      <w:tr w:rsidR="00E56195" w14:paraId="309E248B" w14:textId="77777777" w:rsidTr="00002E2C">
        <w:tc>
          <w:tcPr>
            <w:tcW w:w="2265" w:type="dxa"/>
            <w:vMerge w:val="restart"/>
          </w:tcPr>
          <w:p w14:paraId="5DEBF3FE" w14:textId="77777777" w:rsidR="00E56195" w:rsidRPr="003F0026" w:rsidRDefault="00E56195" w:rsidP="00002E2C">
            <w:pPr>
              <w:jc w:val="right"/>
              <w:rPr>
                <w:b/>
                <w:bCs/>
              </w:rPr>
            </w:pPr>
            <w:r w:rsidRPr="003F0026">
              <w:rPr>
                <w:b/>
                <w:bCs/>
              </w:rPr>
              <w:t>Edad</w:t>
            </w:r>
          </w:p>
        </w:tc>
        <w:tc>
          <w:tcPr>
            <w:tcW w:w="2265" w:type="dxa"/>
          </w:tcPr>
          <w:p w14:paraId="3FFC3B3A" w14:textId="77777777" w:rsidR="00E56195" w:rsidRDefault="00E56195" w:rsidP="00002E2C">
            <w:pPr>
              <w:jc w:val="right"/>
            </w:pPr>
            <w:r>
              <w:t>&lt; 25 años</w:t>
            </w:r>
          </w:p>
        </w:tc>
        <w:tc>
          <w:tcPr>
            <w:tcW w:w="2260" w:type="dxa"/>
          </w:tcPr>
          <w:p w14:paraId="4A7905BF" w14:textId="77777777" w:rsidR="00E56195" w:rsidRDefault="00E56195" w:rsidP="00002E2C">
            <w:r>
              <w:t>7,3%</w:t>
            </w:r>
          </w:p>
        </w:tc>
        <w:tc>
          <w:tcPr>
            <w:tcW w:w="2063" w:type="dxa"/>
          </w:tcPr>
          <w:p w14:paraId="1FDE5CE3" w14:textId="77777777" w:rsidR="00E56195" w:rsidRPr="009A3379" w:rsidRDefault="00E56195" w:rsidP="00002E2C">
            <w:pPr>
              <w:rPr>
                <w:rFonts w:ascii="Calibri" w:hAnsi="Calibri" w:cs="Calibri"/>
                <w:color w:val="000000"/>
              </w:rPr>
            </w:pPr>
            <w:r>
              <w:rPr>
                <w:rFonts w:ascii="Calibri" w:hAnsi="Calibri" w:cs="Calibri"/>
                <w:color w:val="000000"/>
              </w:rPr>
              <w:t>7,7%</w:t>
            </w:r>
          </w:p>
        </w:tc>
      </w:tr>
      <w:tr w:rsidR="00E56195" w14:paraId="64284E5E" w14:textId="77777777" w:rsidTr="00002E2C">
        <w:tc>
          <w:tcPr>
            <w:tcW w:w="2265" w:type="dxa"/>
            <w:vMerge/>
          </w:tcPr>
          <w:p w14:paraId="3DECA530" w14:textId="77777777" w:rsidR="00E56195" w:rsidRDefault="00E56195" w:rsidP="00002E2C">
            <w:pPr>
              <w:jc w:val="right"/>
            </w:pPr>
          </w:p>
        </w:tc>
        <w:tc>
          <w:tcPr>
            <w:tcW w:w="2265" w:type="dxa"/>
          </w:tcPr>
          <w:p w14:paraId="3A8A0139" w14:textId="77777777" w:rsidR="00E56195" w:rsidRDefault="00E56195" w:rsidP="00002E2C">
            <w:pPr>
              <w:jc w:val="right"/>
            </w:pPr>
            <w:r>
              <w:t>&gt; 25 años</w:t>
            </w:r>
          </w:p>
        </w:tc>
        <w:tc>
          <w:tcPr>
            <w:tcW w:w="2260" w:type="dxa"/>
          </w:tcPr>
          <w:p w14:paraId="5B5DB8EE" w14:textId="77777777" w:rsidR="00E56195" w:rsidRDefault="00E56195" w:rsidP="00002E2C">
            <w:r>
              <w:t>92,7%</w:t>
            </w:r>
          </w:p>
        </w:tc>
        <w:tc>
          <w:tcPr>
            <w:tcW w:w="2063" w:type="dxa"/>
          </w:tcPr>
          <w:p w14:paraId="358C5868" w14:textId="77777777" w:rsidR="00E56195" w:rsidRPr="009A3379" w:rsidRDefault="00E56195" w:rsidP="00002E2C">
            <w:pPr>
              <w:rPr>
                <w:rFonts w:ascii="Calibri" w:hAnsi="Calibri" w:cs="Calibri"/>
                <w:color w:val="000000"/>
              </w:rPr>
            </w:pPr>
            <w:r>
              <w:rPr>
                <w:rFonts w:ascii="Calibri" w:hAnsi="Calibri" w:cs="Calibri"/>
                <w:color w:val="000000"/>
              </w:rPr>
              <w:t>92,3%</w:t>
            </w:r>
          </w:p>
        </w:tc>
      </w:tr>
      <w:tr w:rsidR="00E56195" w14:paraId="415093BC" w14:textId="77777777" w:rsidTr="00002E2C">
        <w:tc>
          <w:tcPr>
            <w:tcW w:w="2265" w:type="dxa"/>
            <w:vMerge w:val="restart"/>
          </w:tcPr>
          <w:p w14:paraId="79535C03" w14:textId="77777777" w:rsidR="00E56195" w:rsidRPr="00897E83" w:rsidRDefault="00E56195" w:rsidP="00002E2C">
            <w:pPr>
              <w:jc w:val="right"/>
              <w:rPr>
                <w:b/>
                <w:bCs/>
              </w:rPr>
            </w:pPr>
            <w:r w:rsidRPr="00897E83">
              <w:rPr>
                <w:b/>
                <w:bCs/>
              </w:rPr>
              <w:t>Sector</w:t>
            </w:r>
          </w:p>
        </w:tc>
        <w:tc>
          <w:tcPr>
            <w:tcW w:w="2265" w:type="dxa"/>
          </w:tcPr>
          <w:p w14:paraId="0DFDE690" w14:textId="77777777" w:rsidR="00E56195" w:rsidRDefault="00E56195" w:rsidP="00002E2C">
            <w:pPr>
              <w:jc w:val="right"/>
            </w:pPr>
            <w:r>
              <w:t>Agricultura</w:t>
            </w:r>
          </w:p>
        </w:tc>
        <w:tc>
          <w:tcPr>
            <w:tcW w:w="2260" w:type="dxa"/>
          </w:tcPr>
          <w:p w14:paraId="6082E55F" w14:textId="77777777" w:rsidR="00E56195" w:rsidRDefault="00E56195" w:rsidP="00002E2C">
            <w:r w:rsidRPr="00B87629">
              <w:t>5%</w:t>
            </w:r>
          </w:p>
        </w:tc>
        <w:tc>
          <w:tcPr>
            <w:tcW w:w="2063" w:type="dxa"/>
            <w:vAlign w:val="bottom"/>
          </w:tcPr>
          <w:p w14:paraId="18A65D28" w14:textId="77777777" w:rsidR="00E56195" w:rsidRDefault="00E56195" w:rsidP="00002E2C">
            <w:r>
              <w:rPr>
                <w:rFonts w:ascii="Calibri" w:hAnsi="Calibri" w:cs="Calibri"/>
                <w:color w:val="000000"/>
              </w:rPr>
              <w:t>5,1%</w:t>
            </w:r>
          </w:p>
        </w:tc>
      </w:tr>
      <w:tr w:rsidR="00E56195" w14:paraId="60619A9E" w14:textId="77777777" w:rsidTr="00002E2C">
        <w:tc>
          <w:tcPr>
            <w:tcW w:w="2265" w:type="dxa"/>
            <w:vMerge/>
          </w:tcPr>
          <w:p w14:paraId="4B4062B8" w14:textId="77777777" w:rsidR="00E56195" w:rsidRDefault="00E56195" w:rsidP="00002E2C"/>
        </w:tc>
        <w:tc>
          <w:tcPr>
            <w:tcW w:w="2265" w:type="dxa"/>
          </w:tcPr>
          <w:p w14:paraId="00181B5E" w14:textId="77777777" w:rsidR="00E56195" w:rsidRDefault="00E56195" w:rsidP="00002E2C">
            <w:pPr>
              <w:jc w:val="right"/>
            </w:pPr>
            <w:r>
              <w:t>Industria</w:t>
            </w:r>
          </w:p>
        </w:tc>
        <w:tc>
          <w:tcPr>
            <w:tcW w:w="2260" w:type="dxa"/>
          </w:tcPr>
          <w:p w14:paraId="37DE958E" w14:textId="77777777" w:rsidR="00E56195" w:rsidRDefault="00E56195" w:rsidP="00002E2C">
            <w:r w:rsidRPr="00B87629">
              <w:t>8,6%</w:t>
            </w:r>
          </w:p>
        </w:tc>
        <w:tc>
          <w:tcPr>
            <w:tcW w:w="2063" w:type="dxa"/>
            <w:vAlign w:val="bottom"/>
          </w:tcPr>
          <w:p w14:paraId="711C2919" w14:textId="77777777" w:rsidR="00E56195" w:rsidRDefault="00E56195" w:rsidP="00002E2C">
            <w:r>
              <w:rPr>
                <w:rFonts w:ascii="Calibri" w:hAnsi="Calibri" w:cs="Calibri"/>
                <w:color w:val="000000"/>
              </w:rPr>
              <w:t>8%</w:t>
            </w:r>
          </w:p>
        </w:tc>
      </w:tr>
      <w:tr w:rsidR="00E56195" w14:paraId="10BEA066" w14:textId="77777777" w:rsidTr="00002E2C">
        <w:tc>
          <w:tcPr>
            <w:tcW w:w="2265" w:type="dxa"/>
            <w:vMerge/>
          </w:tcPr>
          <w:p w14:paraId="1B758707" w14:textId="77777777" w:rsidR="00E56195" w:rsidRDefault="00E56195" w:rsidP="00002E2C"/>
        </w:tc>
        <w:tc>
          <w:tcPr>
            <w:tcW w:w="2265" w:type="dxa"/>
          </w:tcPr>
          <w:p w14:paraId="06C9D30A" w14:textId="77777777" w:rsidR="00E56195" w:rsidRDefault="00E56195" w:rsidP="00002E2C">
            <w:pPr>
              <w:jc w:val="right"/>
            </w:pPr>
            <w:r>
              <w:t>Construcción</w:t>
            </w:r>
          </w:p>
        </w:tc>
        <w:tc>
          <w:tcPr>
            <w:tcW w:w="2260" w:type="dxa"/>
          </w:tcPr>
          <w:p w14:paraId="07B1E2A7" w14:textId="77777777" w:rsidR="00E56195" w:rsidRDefault="00E56195" w:rsidP="00002E2C">
            <w:r w:rsidRPr="00B87629">
              <w:t>8,3%</w:t>
            </w:r>
          </w:p>
        </w:tc>
        <w:tc>
          <w:tcPr>
            <w:tcW w:w="2063" w:type="dxa"/>
            <w:vAlign w:val="bottom"/>
          </w:tcPr>
          <w:p w14:paraId="4E50E71A" w14:textId="77777777" w:rsidR="00E56195" w:rsidRDefault="00E56195" w:rsidP="00002E2C">
            <w:r>
              <w:rPr>
                <w:rFonts w:ascii="Calibri" w:hAnsi="Calibri" w:cs="Calibri"/>
                <w:color w:val="000000"/>
              </w:rPr>
              <w:t>7,9%</w:t>
            </w:r>
          </w:p>
        </w:tc>
      </w:tr>
      <w:tr w:rsidR="00E56195" w14:paraId="431720D4" w14:textId="77777777" w:rsidTr="00002E2C">
        <w:tc>
          <w:tcPr>
            <w:tcW w:w="2265" w:type="dxa"/>
            <w:vMerge/>
          </w:tcPr>
          <w:p w14:paraId="7C1C1542" w14:textId="77777777" w:rsidR="00E56195" w:rsidRDefault="00E56195" w:rsidP="00002E2C"/>
        </w:tc>
        <w:tc>
          <w:tcPr>
            <w:tcW w:w="2265" w:type="dxa"/>
          </w:tcPr>
          <w:p w14:paraId="5C688B9F" w14:textId="77777777" w:rsidR="00E56195" w:rsidRDefault="00E56195" w:rsidP="00002E2C">
            <w:pPr>
              <w:jc w:val="right"/>
            </w:pPr>
            <w:r>
              <w:t>Servicios</w:t>
            </w:r>
          </w:p>
        </w:tc>
        <w:tc>
          <w:tcPr>
            <w:tcW w:w="2260" w:type="dxa"/>
          </w:tcPr>
          <w:p w14:paraId="31C13C56" w14:textId="77777777" w:rsidR="00E56195" w:rsidRDefault="00E56195" w:rsidP="00002E2C">
            <w:r w:rsidRPr="00B87629">
              <w:t>69,4%</w:t>
            </w:r>
          </w:p>
        </w:tc>
        <w:tc>
          <w:tcPr>
            <w:tcW w:w="2063" w:type="dxa"/>
            <w:vAlign w:val="bottom"/>
          </w:tcPr>
          <w:p w14:paraId="5D348675" w14:textId="77777777" w:rsidR="00E56195" w:rsidRDefault="00E56195" w:rsidP="00002E2C">
            <w:r>
              <w:rPr>
                <w:rFonts w:ascii="Calibri" w:hAnsi="Calibri" w:cs="Calibri"/>
                <w:color w:val="000000"/>
              </w:rPr>
              <w:t>70%</w:t>
            </w:r>
          </w:p>
        </w:tc>
      </w:tr>
      <w:tr w:rsidR="00E56195" w14:paraId="156835E5" w14:textId="77777777" w:rsidTr="00002E2C">
        <w:tc>
          <w:tcPr>
            <w:tcW w:w="2265" w:type="dxa"/>
            <w:vMerge/>
          </w:tcPr>
          <w:p w14:paraId="69533530" w14:textId="77777777" w:rsidR="00E56195" w:rsidRDefault="00E56195" w:rsidP="00002E2C"/>
        </w:tc>
        <w:tc>
          <w:tcPr>
            <w:tcW w:w="2265" w:type="dxa"/>
          </w:tcPr>
          <w:p w14:paraId="382C59EA" w14:textId="77777777" w:rsidR="00E56195" w:rsidRDefault="00E56195" w:rsidP="00002E2C">
            <w:pPr>
              <w:jc w:val="right"/>
            </w:pPr>
            <w:r>
              <w:t>Sin empleo anterior</w:t>
            </w:r>
          </w:p>
        </w:tc>
        <w:tc>
          <w:tcPr>
            <w:tcW w:w="2260" w:type="dxa"/>
          </w:tcPr>
          <w:p w14:paraId="188239EE" w14:textId="77777777" w:rsidR="00E56195" w:rsidRDefault="00E56195" w:rsidP="00002E2C">
            <w:r w:rsidRPr="00B87629">
              <w:t>8,7%</w:t>
            </w:r>
          </w:p>
        </w:tc>
        <w:tc>
          <w:tcPr>
            <w:tcW w:w="2063" w:type="dxa"/>
            <w:vAlign w:val="bottom"/>
          </w:tcPr>
          <w:p w14:paraId="56F523B8" w14:textId="77777777" w:rsidR="00E56195" w:rsidRDefault="00E56195" w:rsidP="00002E2C">
            <w:r>
              <w:rPr>
                <w:rFonts w:ascii="Calibri" w:hAnsi="Calibri" w:cs="Calibri"/>
                <w:color w:val="000000"/>
              </w:rPr>
              <w:t>9%</w:t>
            </w:r>
          </w:p>
        </w:tc>
      </w:tr>
    </w:tbl>
    <w:p w14:paraId="59E842D2" w14:textId="77777777" w:rsidR="00E56195" w:rsidRDefault="00E56195" w:rsidP="00E56195"/>
    <w:p w14:paraId="3E5847B5" w14:textId="77777777" w:rsidR="00E56195" w:rsidRDefault="00E56195" w:rsidP="00E56195">
      <w:r>
        <w:t>Fuentes: Seguridad Social y SEPE / Elaboración: InfoJobs</w:t>
      </w:r>
    </w:p>
    <w:p w14:paraId="38E6BA95" w14:textId="5BC3C74A" w:rsidR="00F45069" w:rsidRDefault="00F45069" w:rsidP="00E56195">
      <w:pPr>
        <w:rPr>
          <w:sz w:val="24"/>
        </w:rPr>
      </w:pPr>
    </w:p>
    <w:p w14:paraId="086E44C8" w14:textId="77777777" w:rsidR="00186EC6" w:rsidRDefault="00186EC6" w:rsidP="00186EC6">
      <w:pPr>
        <w:pBdr>
          <w:top w:val="nil"/>
          <w:left w:val="nil"/>
          <w:bottom w:val="nil"/>
          <w:right w:val="nil"/>
          <w:between w:val="nil"/>
        </w:pBdr>
        <w:spacing w:line="360" w:lineRule="auto"/>
        <w:rPr>
          <w:rFonts w:ascii="Arial" w:eastAsia="Arial" w:hAnsi="Arial" w:cs="Arial"/>
          <w:color w:val="808080"/>
          <w:sz w:val="16"/>
          <w:szCs w:val="16"/>
        </w:rPr>
      </w:pPr>
      <w:r>
        <w:rPr>
          <w:rFonts w:ascii="Arial" w:eastAsia="Arial" w:hAnsi="Arial" w:cs="Arial"/>
          <w:color w:val="808080"/>
          <w:sz w:val="16"/>
          <w:szCs w:val="16"/>
        </w:rPr>
        <w:t>Sobre InfoJobs</w:t>
      </w:r>
    </w:p>
    <w:p w14:paraId="095174F7" w14:textId="77777777" w:rsidR="00186EC6" w:rsidRDefault="00186EC6" w:rsidP="00186EC6">
      <w:pPr>
        <w:pBdr>
          <w:top w:val="nil"/>
          <w:left w:val="nil"/>
          <w:bottom w:val="nil"/>
          <w:right w:val="nil"/>
          <w:between w:val="nil"/>
        </w:pBdr>
        <w:rPr>
          <w:color w:val="000000"/>
        </w:rPr>
      </w:pPr>
      <w:r>
        <w:rPr>
          <w:rFonts w:ascii="Arial" w:eastAsia="Arial" w:hAnsi="Arial" w:cs="Arial"/>
          <w:color w:val="808080"/>
          <w:sz w:val="16"/>
          <w:szCs w:val="16"/>
        </w:rPr>
        <w:t xml:space="preserve">Plataforma líder en España para encontrar las mejores oportunidades profesionales y el mejor talento. En el último año, InfoJobs ha publicado más de 1,5 millones de posiciones vacantes. Cuenta cada mes con 40 millones de visitas (más del 80% proceden de dispositivos móviles) y cerca de 6 millones de usuarios activos. (Fuente datos: Adobe </w:t>
      </w:r>
      <w:proofErr w:type="spellStart"/>
      <w:r>
        <w:rPr>
          <w:rFonts w:ascii="Arial" w:eastAsia="Arial" w:hAnsi="Arial" w:cs="Arial"/>
          <w:color w:val="808080"/>
          <w:sz w:val="16"/>
          <w:szCs w:val="16"/>
        </w:rPr>
        <w:t>Analytics</w:t>
      </w:r>
      <w:proofErr w:type="spellEnd"/>
      <w:r>
        <w:rPr>
          <w:rFonts w:ascii="Arial" w:eastAsia="Arial" w:hAnsi="Arial" w:cs="Arial"/>
          <w:color w:val="808080"/>
          <w:sz w:val="16"/>
          <w:szCs w:val="16"/>
        </w:rPr>
        <w:t xml:space="preserve"> Feb 2021).</w:t>
      </w:r>
    </w:p>
    <w:p w14:paraId="1500E613" w14:textId="77777777" w:rsidR="00186EC6" w:rsidRDefault="00186EC6" w:rsidP="00186EC6"/>
    <w:p w14:paraId="5E871F2C" w14:textId="77777777" w:rsidR="00186EC6" w:rsidRDefault="00186EC6" w:rsidP="00186EC6">
      <w:pPr>
        <w:pBdr>
          <w:top w:val="nil"/>
          <w:left w:val="nil"/>
          <w:bottom w:val="nil"/>
          <w:right w:val="nil"/>
          <w:between w:val="nil"/>
        </w:pBdr>
        <w:rPr>
          <w:color w:val="000000"/>
        </w:rPr>
      </w:pPr>
      <w:r>
        <w:rPr>
          <w:rFonts w:ascii="Arial" w:eastAsia="Arial" w:hAnsi="Arial" w:cs="Arial"/>
          <w:color w:val="808080"/>
          <w:sz w:val="16"/>
          <w:szCs w:val="16"/>
        </w:rPr>
        <w:t xml:space="preserve">InfoJobs pertenece a </w:t>
      </w:r>
      <w:proofErr w:type="spellStart"/>
      <w:r>
        <w:rPr>
          <w:rFonts w:ascii="Arial" w:eastAsia="Arial" w:hAnsi="Arial" w:cs="Arial"/>
          <w:color w:val="808080"/>
          <w:sz w:val="16"/>
          <w:szCs w:val="16"/>
        </w:rPr>
        <w:t>Adevinta</w:t>
      </w:r>
      <w:proofErr w:type="spellEnd"/>
      <w:r>
        <w:rPr>
          <w:rFonts w:ascii="Arial" w:eastAsia="Arial" w:hAnsi="Arial" w:cs="Arial"/>
          <w:color w:val="808080"/>
          <w:sz w:val="16"/>
          <w:szCs w:val="16"/>
        </w:rPr>
        <w:t xml:space="preserve">, compañía líder en </w:t>
      </w:r>
      <w:proofErr w:type="spellStart"/>
      <w:r>
        <w:rPr>
          <w:rFonts w:ascii="Arial" w:eastAsia="Arial" w:hAnsi="Arial" w:cs="Arial"/>
          <w:color w:val="808080"/>
          <w:sz w:val="16"/>
          <w:szCs w:val="16"/>
        </w:rPr>
        <w:t>marketplaces</w:t>
      </w:r>
      <w:proofErr w:type="spellEnd"/>
      <w:r>
        <w:rPr>
          <w:rFonts w:ascii="Arial" w:eastAsia="Arial" w:hAnsi="Arial" w:cs="Arial"/>
          <w:color w:val="808080"/>
          <w:sz w:val="16"/>
          <w:szCs w:val="16"/>
        </w:rPr>
        <w:t xml:space="preserve"> digitales y una de las principales empresas del sector tecnológico del país, con más de 18 millones de usuarios al mes en sus plataformas de los sectores inmobiliario (</w:t>
      </w:r>
      <w:hyperlink r:id="rId8">
        <w:r>
          <w:rPr>
            <w:rFonts w:ascii="Arial" w:eastAsia="Arial" w:hAnsi="Arial" w:cs="Arial"/>
            <w:color w:val="808080"/>
            <w:sz w:val="16"/>
            <w:szCs w:val="16"/>
            <w:u w:val="single"/>
          </w:rPr>
          <w:t>Fotocasa</w:t>
        </w:r>
      </w:hyperlink>
      <w:r>
        <w:rPr>
          <w:rFonts w:ascii="Arial" w:eastAsia="Arial" w:hAnsi="Arial" w:cs="Arial"/>
          <w:color w:val="808080"/>
          <w:sz w:val="16"/>
          <w:szCs w:val="16"/>
        </w:rPr>
        <w:t xml:space="preserve"> y </w:t>
      </w:r>
      <w:hyperlink r:id="rId9">
        <w:proofErr w:type="spellStart"/>
        <w:r>
          <w:rPr>
            <w:rFonts w:ascii="Arial" w:eastAsia="Arial" w:hAnsi="Arial" w:cs="Arial"/>
            <w:color w:val="808080"/>
            <w:sz w:val="16"/>
            <w:szCs w:val="16"/>
            <w:u w:val="single"/>
          </w:rPr>
          <w:t>habitaclia</w:t>
        </w:r>
        <w:proofErr w:type="spellEnd"/>
      </w:hyperlink>
      <w:r>
        <w:rPr>
          <w:rFonts w:ascii="Arial" w:eastAsia="Arial" w:hAnsi="Arial" w:cs="Arial"/>
          <w:color w:val="808080"/>
          <w:sz w:val="16"/>
          <w:szCs w:val="16"/>
        </w:rPr>
        <w:t>), empleo (</w:t>
      </w:r>
      <w:hyperlink r:id="rId10">
        <w:r>
          <w:rPr>
            <w:rFonts w:ascii="Arial" w:eastAsia="Arial" w:hAnsi="Arial" w:cs="Arial"/>
            <w:color w:val="808080"/>
            <w:sz w:val="16"/>
            <w:szCs w:val="16"/>
            <w:u w:val="single"/>
          </w:rPr>
          <w:t>InfoJobs</w:t>
        </w:r>
      </w:hyperlink>
      <w:r>
        <w:rPr>
          <w:rFonts w:ascii="Arial" w:eastAsia="Arial" w:hAnsi="Arial" w:cs="Arial"/>
          <w:color w:val="808080"/>
          <w:sz w:val="16"/>
          <w:szCs w:val="16"/>
        </w:rPr>
        <w:t>), motor (</w:t>
      </w:r>
      <w:hyperlink r:id="rId11">
        <w:r>
          <w:rPr>
            <w:rFonts w:ascii="Arial" w:eastAsia="Arial" w:hAnsi="Arial" w:cs="Arial"/>
            <w:color w:val="808080"/>
            <w:sz w:val="16"/>
            <w:szCs w:val="16"/>
            <w:u w:val="single"/>
          </w:rPr>
          <w:t>coches.net</w:t>
        </w:r>
      </w:hyperlink>
      <w:r>
        <w:rPr>
          <w:rFonts w:ascii="Arial" w:eastAsia="Arial" w:hAnsi="Arial" w:cs="Arial"/>
          <w:color w:val="808080"/>
          <w:sz w:val="16"/>
          <w:szCs w:val="16"/>
        </w:rPr>
        <w:t xml:space="preserve"> y </w:t>
      </w:r>
      <w:hyperlink r:id="rId12">
        <w:r>
          <w:rPr>
            <w:rFonts w:ascii="Arial" w:eastAsia="Arial" w:hAnsi="Arial" w:cs="Arial"/>
            <w:color w:val="808080"/>
            <w:sz w:val="16"/>
            <w:szCs w:val="16"/>
            <w:u w:val="single"/>
          </w:rPr>
          <w:t>motos.net</w:t>
        </w:r>
      </w:hyperlink>
      <w:r>
        <w:rPr>
          <w:rFonts w:ascii="Arial" w:eastAsia="Arial" w:hAnsi="Arial" w:cs="Arial"/>
          <w:color w:val="808080"/>
          <w:sz w:val="16"/>
          <w:szCs w:val="16"/>
        </w:rPr>
        <w:t>) y compraventa de artículos de segunda mano (</w:t>
      </w:r>
      <w:proofErr w:type="spellStart"/>
      <w:r w:rsidR="00E56195">
        <w:fldChar w:fldCharType="begin"/>
      </w:r>
      <w:r w:rsidR="00E56195">
        <w:instrText xml:space="preserve"> HYPERLINK "https://www.milanuncios.com/" \h </w:instrText>
      </w:r>
      <w:r w:rsidR="00E56195">
        <w:fldChar w:fldCharType="separate"/>
      </w:r>
      <w:r>
        <w:rPr>
          <w:rFonts w:ascii="Arial" w:eastAsia="Arial" w:hAnsi="Arial" w:cs="Arial"/>
          <w:color w:val="808080"/>
          <w:sz w:val="16"/>
          <w:szCs w:val="16"/>
          <w:u w:val="single"/>
        </w:rPr>
        <w:t>Milanuncios</w:t>
      </w:r>
      <w:proofErr w:type="spellEnd"/>
      <w:r w:rsidR="00E56195">
        <w:rPr>
          <w:rFonts w:ascii="Arial" w:eastAsia="Arial" w:hAnsi="Arial" w:cs="Arial"/>
          <w:color w:val="808080"/>
          <w:sz w:val="16"/>
          <w:szCs w:val="16"/>
          <w:u w:val="single"/>
        </w:rPr>
        <w:fldChar w:fldCharType="end"/>
      </w:r>
      <w:r>
        <w:rPr>
          <w:rFonts w:ascii="Arial" w:eastAsia="Arial" w:hAnsi="Arial" w:cs="Arial"/>
          <w:color w:val="808080"/>
          <w:sz w:val="16"/>
          <w:szCs w:val="16"/>
        </w:rPr>
        <w:t>).</w:t>
      </w:r>
    </w:p>
    <w:p w14:paraId="00C3C4A3" w14:textId="77777777" w:rsidR="00186EC6" w:rsidRDefault="00186EC6" w:rsidP="00186EC6">
      <w:pPr>
        <w:pBdr>
          <w:top w:val="nil"/>
          <w:left w:val="nil"/>
          <w:bottom w:val="nil"/>
          <w:right w:val="nil"/>
          <w:between w:val="nil"/>
        </w:pBdr>
        <w:rPr>
          <w:color w:val="000000"/>
        </w:rPr>
      </w:pPr>
      <w:r>
        <w:rPr>
          <w:rFonts w:ascii="Arial" w:eastAsia="Arial" w:hAnsi="Arial" w:cs="Arial"/>
          <w:color w:val="808080"/>
          <w:sz w:val="16"/>
          <w:szCs w:val="16"/>
        </w:rPr>
        <w:t> </w:t>
      </w:r>
    </w:p>
    <w:p w14:paraId="58739479" w14:textId="77777777" w:rsidR="00186EC6" w:rsidRDefault="00186EC6" w:rsidP="00186EC6">
      <w:pPr>
        <w:rPr>
          <w:rFonts w:ascii="Arial" w:eastAsia="Arial" w:hAnsi="Arial" w:cs="Arial"/>
          <w:color w:val="808080"/>
          <w:sz w:val="16"/>
          <w:szCs w:val="16"/>
        </w:rPr>
      </w:pPr>
      <w:proofErr w:type="spellStart"/>
      <w:r>
        <w:rPr>
          <w:rFonts w:ascii="Arial" w:eastAsia="Arial" w:hAnsi="Arial" w:cs="Arial"/>
          <w:color w:val="808080"/>
          <w:sz w:val="16"/>
          <w:szCs w:val="16"/>
        </w:rPr>
        <w:t>Adevinta</w:t>
      </w:r>
      <w:proofErr w:type="spellEnd"/>
      <w:r>
        <w:rPr>
          <w:rFonts w:ascii="Arial" w:eastAsia="Arial" w:hAnsi="Arial" w:cs="Arial"/>
          <w:color w:val="808080"/>
          <w:sz w:val="16"/>
          <w:szCs w:val="16"/>
        </w:rPr>
        <w:t xml:space="preserve"> tiene presencia mundial en 16 países. En España cuenta con una plantilla de 1.100 empleados, comprometidos con fomentar un cambio positivo en el mundo a través de tecnología innovadora, otorgando una nueva oportunidad a quienes la están buscando y dando a las cosas una segunda vida. El conjunto de sus plataformas locales recibe un promedio de 3.000 millones de visitas cada mes. Más información en </w:t>
      </w:r>
      <w:hyperlink r:id="rId13">
        <w:r>
          <w:rPr>
            <w:rFonts w:ascii="Arial" w:eastAsia="Arial" w:hAnsi="Arial" w:cs="Arial"/>
            <w:color w:val="808080"/>
            <w:sz w:val="16"/>
            <w:szCs w:val="16"/>
            <w:u w:val="single"/>
          </w:rPr>
          <w:t>adevinta.es</w:t>
        </w:r>
      </w:hyperlink>
      <w:r>
        <w:rPr>
          <w:rFonts w:ascii="Arial" w:eastAsia="Arial" w:hAnsi="Arial" w:cs="Arial"/>
          <w:color w:val="808080"/>
          <w:sz w:val="16"/>
          <w:szCs w:val="16"/>
        </w:rPr>
        <w:t>.</w:t>
      </w:r>
    </w:p>
    <w:p w14:paraId="6513C20B" w14:textId="77777777" w:rsidR="00186EC6" w:rsidRDefault="00186EC6" w:rsidP="00186EC6">
      <w:pPr>
        <w:spacing w:line="252" w:lineRule="auto"/>
        <w:rPr>
          <w:rFonts w:ascii="Arial" w:eastAsia="Arial" w:hAnsi="Arial" w:cs="Arial"/>
          <w:sz w:val="20"/>
          <w:szCs w:val="20"/>
        </w:rPr>
      </w:pPr>
      <w:r>
        <w:rPr>
          <w:rFonts w:ascii="Arial" w:eastAsia="Arial" w:hAnsi="Arial" w:cs="Arial"/>
          <w:sz w:val="16"/>
          <w:szCs w:val="16"/>
        </w:rPr>
        <w:t xml:space="preserve">   </w:t>
      </w:r>
    </w:p>
    <w:p w14:paraId="420802E7" w14:textId="77777777" w:rsidR="00186EC6" w:rsidRDefault="00186EC6" w:rsidP="00186EC6">
      <w:pPr>
        <w:spacing w:line="360" w:lineRule="auto"/>
        <w:rPr>
          <w:rFonts w:ascii="Arial" w:eastAsia="Arial" w:hAnsi="Arial" w:cs="Arial"/>
          <w:b/>
          <w:color w:val="7F7F7F"/>
          <w:sz w:val="18"/>
          <w:szCs w:val="18"/>
        </w:rPr>
      </w:pPr>
      <w:r>
        <w:rPr>
          <w:rFonts w:ascii="Arial" w:eastAsia="Arial" w:hAnsi="Arial" w:cs="Arial"/>
          <w:b/>
          <w:color w:val="7F7F7F"/>
          <w:sz w:val="18"/>
          <w:szCs w:val="18"/>
        </w:rPr>
        <w:t>Contacto</w:t>
      </w:r>
      <w:r>
        <w:rPr>
          <w:rFonts w:ascii="Arial" w:eastAsia="Arial" w:hAnsi="Arial" w:cs="Arial"/>
          <w:color w:val="7F7F7F"/>
          <w:sz w:val="18"/>
          <w:szCs w:val="18"/>
        </w:rPr>
        <w:t>:</w:t>
      </w:r>
    </w:p>
    <w:p w14:paraId="486428C4" w14:textId="77777777" w:rsidR="00186EC6" w:rsidRDefault="00186EC6" w:rsidP="00186EC6">
      <w:pPr>
        <w:pBdr>
          <w:top w:val="nil"/>
          <w:left w:val="nil"/>
          <w:bottom w:val="nil"/>
          <w:right w:val="nil"/>
          <w:between w:val="nil"/>
        </w:pBdr>
        <w:rPr>
          <w:rFonts w:ascii="Arial" w:eastAsia="Arial" w:hAnsi="Arial" w:cs="Arial"/>
          <w:strike/>
          <w:color w:val="FF0000"/>
          <w:sz w:val="18"/>
          <w:szCs w:val="18"/>
        </w:rPr>
      </w:pPr>
      <w:r>
        <w:rPr>
          <w:rFonts w:ascii="Arial" w:eastAsia="Arial" w:hAnsi="Arial" w:cs="Arial"/>
          <w:b/>
          <w:color w:val="7F7F7F"/>
          <w:sz w:val="18"/>
          <w:szCs w:val="18"/>
        </w:rPr>
        <w:t>InfoJobs</w:t>
      </w:r>
      <w:r>
        <w:rPr>
          <w:rFonts w:ascii="Arial" w:eastAsia="Arial" w:hAnsi="Arial" w:cs="Arial"/>
          <w:color w:val="7F7F7F"/>
          <w:sz w:val="18"/>
          <w:szCs w:val="18"/>
        </w:rPr>
        <w:t>: Mónica Pérez Callejo</w:t>
      </w:r>
      <w:r>
        <w:rPr>
          <w:rFonts w:ascii="Arial" w:eastAsia="Arial" w:hAnsi="Arial" w:cs="Arial"/>
          <w:color w:val="7F7F7F"/>
          <w:sz w:val="18"/>
          <w:szCs w:val="18"/>
        </w:rPr>
        <w:tab/>
      </w:r>
      <w:proofErr w:type="gramStart"/>
      <w:r>
        <w:rPr>
          <w:rFonts w:ascii="Arial" w:eastAsia="Arial" w:hAnsi="Arial" w:cs="Arial"/>
          <w:color w:val="808080"/>
          <w:sz w:val="18"/>
          <w:szCs w:val="18"/>
        </w:rPr>
        <w:tab/>
        <w:t xml:space="preserve">  </w:t>
      </w:r>
      <w:r>
        <w:rPr>
          <w:rFonts w:ascii="Arial" w:eastAsia="Arial" w:hAnsi="Arial" w:cs="Arial"/>
          <w:color w:val="808080"/>
          <w:sz w:val="18"/>
          <w:szCs w:val="18"/>
        </w:rPr>
        <w:tab/>
      </w:r>
      <w:proofErr w:type="gramEnd"/>
      <w:r>
        <w:rPr>
          <w:rFonts w:ascii="Arial" w:eastAsia="Arial" w:hAnsi="Arial" w:cs="Arial"/>
          <w:color w:val="808080"/>
          <w:sz w:val="18"/>
          <w:szCs w:val="18"/>
        </w:rPr>
        <w:t xml:space="preserve">  </w:t>
      </w:r>
      <w:r>
        <w:rPr>
          <w:rFonts w:ascii="Arial" w:eastAsia="Arial" w:hAnsi="Arial" w:cs="Arial"/>
          <w:color w:val="808080"/>
          <w:sz w:val="18"/>
          <w:szCs w:val="18"/>
        </w:rPr>
        <w:tab/>
        <w:t xml:space="preserve"> </w:t>
      </w:r>
      <w:proofErr w:type="spellStart"/>
      <w:r>
        <w:rPr>
          <w:rFonts w:ascii="Arial" w:eastAsia="Arial" w:hAnsi="Arial" w:cs="Arial"/>
          <w:b/>
          <w:color w:val="7F7F7F"/>
          <w:sz w:val="18"/>
          <w:szCs w:val="18"/>
        </w:rPr>
        <w:t>Evercom</w:t>
      </w:r>
      <w:proofErr w:type="spellEnd"/>
      <w:r>
        <w:rPr>
          <w:rFonts w:ascii="Arial" w:eastAsia="Arial" w:hAnsi="Arial" w:cs="Arial"/>
          <w:color w:val="7F7F7F"/>
          <w:sz w:val="18"/>
          <w:szCs w:val="18"/>
        </w:rPr>
        <w:t>: Pablo Gutiérrez / Albert Cuesta</w:t>
      </w:r>
    </w:p>
    <w:p w14:paraId="457CC0AB" w14:textId="48CBDEBC" w:rsidR="00186EC6" w:rsidRDefault="00E56195" w:rsidP="00186EC6">
      <w:pPr>
        <w:rPr>
          <w:rFonts w:ascii="Arial" w:eastAsia="Arial" w:hAnsi="Arial" w:cs="Arial"/>
          <w:color w:val="7F7F7F"/>
          <w:sz w:val="18"/>
          <w:szCs w:val="18"/>
        </w:rPr>
      </w:pPr>
      <w:hyperlink r:id="rId14">
        <w:r w:rsidR="00186EC6">
          <w:rPr>
            <w:rFonts w:ascii="Arial" w:eastAsia="Arial" w:hAnsi="Arial" w:cs="Arial"/>
            <w:b/>
            <w:color w:val="0070C0"/>
            <w:sz w:val="18"/>
            <w:szCs w:val="18"/>
          </w:rPr>
          <w:t>prensa@infojobs.net</w:t>
        </w:r>
      </w:hyperlink>
      <w:r w:rsidR="00186EC6">
        <w:rPr>
          <w:rFonts w:ascii="Arial" w:eastAsia="Arial" w:hAnsi="Arial" w:cs="Arial"/>
          <w:color w:val="4F81BD"/>
          <w:sz w:val="18"/>
          <w:szCs w:val="18"/>
        </w:rPr>
        <w:tab/>
      </w:r>
      <w:r w:rsidR="00186EC6">
        <w:rPr>
          <w:rFonts w:ascii="Arial" w:eastAsia="Arial" w:hAnsi="Arial" w:cs="Arial"/>
          <w:color w:val="4F81BD"/>
          <w:sz w:val="18"/>
          <w:szCs w:val="18"/>
        </w:rPr>
        <w:tab/>
      </w:r>
      <w:r w:rsidR="00186EC6">
        <w:rPr>
          <w:rFonts w:ascii="Arial" w:eastAsia="Arial" w:hAnsi="Arial" w:cs="Arial"/>
          <w:color w:val="4F81BD"/>
          <w:sz w:val="18"/>
          <w:szCs w:val="18"/>
        </w:rPr>
        <w:tab/>
      </w:r>
      <w:r w:rsidR="00186EC6">
        <w:rPr>
          <w:rFonts w:ascii="Arial" w:eastAsia="Arial" w:hAnsi="Arial" w:cs="Arial"/>
          <w:color w:val="4F81BD"/>
          <w:sz w:val="18"/>
          <w:szCs w:val="18"/>
        </w:rPr>
        <w:tab/>
        <w:t xml:space="preserve"> </w:t>
      </w:r>
      <w:r w:rsidR="00186EC6">
        <w:rPr>
          <w:rFonts w:ascii="Arial" w:eastAsia="Arial" w:hAnsi="Arial" w:cs="Arial"/>
          <w:color w:val="4F81BD"/>
          <w:sz w:val="18"/>
          <w:szCs w:val="18"/>
        </w:rPr>
        <w:tab/>
        <w:t xml:space="preserve">          </w:t>
      </w:r>
      <w:hyperlink r:id="rId15">
        <w:r w:rsidR="00186EC6">
          <w:rPr>
            <w:rFonts w:ascii="Arial" w:eastAsia="Arial" w:hAnsi="Arial" w:cs="Arial"/>
            <w:b/>
            <w:color w:val="0070C0"/>
            <w:sz w:val="18"/>
            <w:szCs w:val="18"/>
          </w:rPr>
          <w:t>infojobs@evercom.es</w:t>
        </w:r>
      </w:hyperlink>
      <w:r w:rsidR="00186EC6">
        <w:rPr>
          <w:rFonts w:ascii="Arial" w:eastAsia="Arial" w:hAnsi="Arial" w:cs="Arial"/>
          <w:color w:val="0070C0"/>
          <w:sz w:val="18"/>
          <w:szCs w:val="18"/>
        </w:rPr>
        <w:t xml:space="preserve">  </w:t>
      </w:r>
    </w:p>
    <w:p w14:paraId="5DF83550" w14:textId="17E579AB" w:rsidR="00186EC6" w:rsidRDefault="00186EC6" w:rsidP="00186EC6">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0"/>
          <w:szCs w:val="20"/>
        </w:rPr>
      </w:pPr>
      <w:r>
        <w:lastRenderedPageBreak/>
        <w:t xml:space="preserve">     </w:t>
      </w:r>
      <w:r>
        <w:rPr>
          <w:rFonts w:ascii="Arial" w:eastAsia="Arial" w:hAnsi="Arial" w:cs="Arial"/>
          <w:color w:val="808080"/>
          <w:sz w:val="16"/>
          <w:szCs w:val="16"/>
        </w:rPr>
        <w:t>   </w:t>
      </w:r>
      <w:r>
        <w:rPr>
          <w:rFonts w:ascii="Arial" w:eastAsia="Arial" w:hAnsi="Arial" w:cs="Arial"/>
          <w:color w:val="808080"/>
          <w:sz w:val="16"/>
          <w:szCs w:val="16"/>
        </w:rPr>
        <w:tab/>
        <w:t xml:space="preserve">                    </w:t>
      </w:r>
      <w:r>
        <w:rPr>
          <w:rFonts w:ascii="Arial" w:eastAsia="Arial" w:hAnsi="Arial" w:cs="Arial"/>
          <w:color w:val="808080"/>
          <w:sz w:val="16"/>
          <w:szCs w:val="16"/>
        </w:rPr>
        <w:tab/>
      </w:r>
      <w:r>
        <w:rPr>
          <w:rFonts w:ascii="Arial" w:eastAsia="Arial" w:hAnsi="Arial" w:cs="Arial"/>
          <w:color w:val="808080"/>
          <w:sz w:val="16"/>
          <w:szCs w:val="16"/>
        </w:rPr>
        <w:tab/>
      </w:r>
      <w:r>
        <w:rPr>
          <w:rFonts w:ascii="Arial" w:eastAsia="Arial" w:hAnsi="Arial" w:cs="Arial"/>
          <w:color w:val="808080"/>
          <w:sz w:val="16"/>
          <w:szCs w:val="16"/>
        </w:rPr>
        <w:tab/>
        <w:t xml:space="preserve"> </w:t>
      </w:r>
      <w:r>
        <w:rPr>
          <w:rFonts w:ascii="Arial" w:eastAsia="Arial" w:hAnsi="Arial" w:cs="Arial"/>
          <w:color w:val="808080"/>
          <w:sz w:val="16"/>
          <w:szCs w:val="16"/>
        </w:rPr>
        <w:tab/>
        <w:t xml:space="preserve">                              T. </w:t>
      </w:r>
      <w:r>
        <w:rPr>
          <w:rFonts w:ascii="Arial" w:eastAsia="Arial" w:hAnsi="Arial" w:cs="Arial"/>
          <w:color w:val="7F7F7F"/>
          <w:sz w:val="18"/>
          <w:szCs w:val="18"/>
        </w:rPr>
        <w:t>34 93 415 37 05 - 676 86 98 56</w:t>
      </w:r>
    </w:p>
    <w:p w14:paraId="73FC508C" w14:textId="76A0B6CF" w:rsidR="005213C9" w:rsidRPr="008E0D95" w:rsidRDefault="005213C9" w:rsidP="00036C21">
      <w:pPr>
        <w:textDirection w:val="btLr"/>
        <w:rPr>
          <w:rFonts w:ascii="Arial" w:hAnsi="Arial" w:cs="Arial"/>
          <w:sz w:val="20"/>
          <w:szCs w:val="20"/>
        </w:rPr>
      </w:pPr>
    </w:p>
    <w:sectPr w:rsidR="005213C9" w:rsidRPr="008E0D95">
      <w:headerReference w:type="default" r:id="rId16"/>
      <w:pgSz w:w="11906" w:h="16838"/>
      <w:pgMar w:top="1440" w:right="1800" w:bottom="1440" w:left="1800" w:header="0" w:footer="0" w:gutter="0"/>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2C466" w14:textId="77777777" w:rsidR="008E0D95" w:rsidRDefault="008E0D95" w:rsidP="008E0D95">
      <w:r>
        <w:separator/>
      </w:r>
    </w:p>
  </w:endnote>
  <w:endnote w:type="continuationSeparator" w:id="0">
    <w:p w14:paraId="14892E5A" w14:textId="77777777" w:rsidR="008E0D95" w:rsidRDefault="008E0D95" w:rsidP="008E0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auto"/>
    <w:pitch w:val="default"/>
  </w:font>
  <w:font w:name="Arimo">
    <w:charset w:val="00"/>
    <w:family w:val="auto"/>
    <w:pitch w:val="default"/>
  </w:font>
  <w:font w:name="Calibri Light">
    <w:panose1 w:val="020F0302020204030204"/>
    <w:charset w:val="00"/>
    <w:family w:val="swiss"/>
    <w:pitch w:val="variable"/>
    <w:sig w:usb0="E4002EFF" w:usb1="C000247B" w:usb2="00000009" w:usb3="00000000" w:csb0="000001FF" w:csb1="00000000"/>
  </w:font>
  <w:font w:name="OpenSymbol">
    <w:altName w:val="Cambria"/>
    <w:charset w:val="00"/>
    <w:family w:val="auto"/>
    <w:pitch w:val="variable"/>
    <w:sig w:usb0="800000AF" w:usb1="1001ECEA" w:usb2="00000000" w:usb3="00000000" w:csb0="00000001" w:csb1="00000000"/>
  </w:font>
  <w:font w:name="Liberation Sans">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charset w:val="00"/>
    <w:family w:val="auto"/>
    <w:pitch w:val="default"/>
    <w:sig w:usb0="E4839EFF" w:usb1="4600FDFF" w:usb2="000030A0" w:usb3="00000584" w:csb0="600001BF" w:csb1="DFF7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43518" w14:textId="77777777" w:rsidR="008E0D95" w:rsidRDefault="008E0D95" w:rsidP="008E0D95">
      <w:r>
        <w:separator/>
      </w:r>
    </w:p>
  </w:footnote>
  <w:footnote w:type="continuationSeparator" w:id="0">
    <w:p w14:paraId="70676857" w14:textId="77777777" w:rsidR="008E0D95" w:rsidRDefault="008E0D95" w:rsidP="008E0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A7F8E" w14:textId="2A4FDDA8" w:rsidR="00F70A63" w:rsidRDefault="00F70A63" w:rsidP="00F70A63">
    <w:pPr>
      <w:pStyle w:val="Cabeceraypie"/>
      <w:pBdr>
        <w:top w:val="none" w:sz="0" w:space="0" w:color="auto"/>
        <w:left w:val="none" w:sz="0" w:space="0" w:color="auto"/>
        <w:bottom w:val="none" w:sz="0" w:space="0" w:color="auto"/>
        <w:right w:val="none" w:sz="0" w:space="0" w:color="auto"/>
      </w:pBdr>
      <w:tabs>
        <w:tab w:val="clear" w:pos="9020"/>
        <w:tab w:val="center" w:pos="4819"/>
        <w:tab w:val="right" w:pos="9638"/>
      </w:tabs>
      <w:jc w:val="center"/>
      <w:rPr>
        <w:color w:val="919191"/>
        <w:sz w:val="24"/>
        <w:szCs w:val="24"/>
        <w:lang w:val="es-ES_tradnl"/>
      </w:rPr>
    </w:pPr>
    <w:r>
      <w:rPr>
        <w:noProof/>
      </w:rPr>
      <w:drawing>
        <wp:anchor distT="0" distB="0" distL="114300" distR="114300" simplePos="0" relativeHeight="251657216" behindDoc="0" locked="0" layoutInCell="1" allowOverlap="1" wp14:anchorId="27274BCB" wp14:editId="02B53671">
          <wp:simplePos x="0" y="0"/>
          <wp:positionH relativeFrom="column">
            <wp:posOffset>-137160</wp:posOffset>
          </wp:positionH>
          <wp:positionV relativeFrom="paragraph">
            <wp:posOffset>83820</wp:posOffset>
          </wp:positionV>
          <wp:extent cx="1325880" cy="575310"/>
          <wp:effectExtent l="0" t="0" r="0" b="0"/>
          <wp:wrapSquare wrapText="bothSides"/>
          <wp:docPr id="2" name="Imagen 2" descr="ij-logo_default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j-logo_default_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575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B994CE" w14:textId="77777777" w:rsidR="00F70A63" w:rsidRDefault="00F70A63" w:rsidP="00F70A63">
    <w:pPr>
      <w:pStyle w:val="Cabeceraypie"/>
      <w:pBdr>
        <w:top w:val="none" w:sz="0" w:space="0" w:color="auto"/>
        <w:left w:val="none" w:sz="0" w:space="0" w:color="auto"/>
        <w:bottom w:val="none" w:sz="0" w:space="0" w:color="auto"/>
        <w:right w:val="none" w:sz="0" w:space="0" w:color="auto"/>
      </w:pBdr>
      <w:tabs>
        <w:tab w:val="clear" w:pos="9020"/>
        <w:tab w:val="center" w:pos="4819"/>
        <w:tab w:val="right" w:pos="9638"/>
      </w:tabs>
      <w:jc w:val="center"/>
      <w:rPr>
        <w:color w:val="919191"/>
        <w:sz w:val="24"/>
        <w:szCs w:val="24"/>
        <w:lang w:val="es-ES_tradnl"/>
      </w:rPr>
    </w:pPr>
  </w:p>
  <w:p w14:paraId="491E63DE" w14:textId="7AAAC8F2" w:rsidR="00F70A63" w:rsidRDefault="00F70A63" w:rsidP="00F70A63">
    <w:pPr>
      <w:pStyle w:val="Cabeceraypie"/>
      <w:pBdr>
        <w:top w:val="none" w:sz="0" w:space="0" w:color="auto"/>
        <w:left w:val="none" w:sz="0" w:space="0" w:color="auto"/>
        <w:bottom w:val="none" w:sz="0" w:space="0" w:color="auto"/>
        <w:right w:val="none" w:sz="0" w:space="0" w:color="auto"/>
      </w:pBdr>
      <w:tabs>
        <w:tab w:val="clear" w:pos="9020"/>
        <w:tab w:val="center" w:pos="4819"/>
        <w:tab w:val="right" w:pos="9638"/>
      </w:tabs>
      <w:jc w:val="center"/>
      <w:rPr>
        <w:color w:val="919191"/>
        <w:sz w:val="24"/>
        <w:szCs w:val="24"/>
        <w:lang w:val="es-ES_tradnl"/>
      </w:rPr>
    </w:pPr>
  </w:p>
  <w:p w14:paraId="56FB1E86" w14:textId="4E8E6DFD" w:rsidR="00F70A63" w:rsidRDefault="00F70A63" w:rsidP="00F70A63">
    <w:pPr>
      <w:pStyle w:val="Cabeceraypie"/>
      <w:pBdr>
        <w:top w:val="none" w:sz="0" w:space="0" w:color="auto"/>
        <w:left w:val="none" w:sz="0" w:space="0" w:color="auto"/>
        <w:bottom w:val="none" w:sz="0" w:space="0" w:color="auto"/>
        <w:right w:val="none" w:sz="0" w:space="0" w:color="auto"/>
      </w:pBdr>
      <w:tabs>
        <w:tab w:val="clear" w:pos="9020"/>
        <w:tab w:val="center" w:pos="4819"/>
        <w:tab w:val="right" w:pos="9638"/>
      </w:tabs>
      <w:jc w:val="center"/>
      <w:rPr>
        <w:color w:val="919191"/>
        <w:sz w:val="24"/>
        <w:szCs w:val="24"/>
        <w:lang w:val="es-ES_tradnl"/>
      </w:rPr>
    </w:pPr>
    <w:r>
      <w:rPr>
        <w:color w:val="919191"/>
        <w:sz w:val="24"/>
        <w:szCs w:val="24"/>
        <w:lang w:val="es-ES_tradnl"/>
      </w:rPr>
      <w:t>#InfoJobsOpina</w:t>
    </w:r>
  </w:p>
  <w:p w14:paraId="7ACEE586" w14:textId="2F80A011" w:rsidR="00F70A63" w:rsidRDefault="00F70A63" w:rsidP="00F70A63">
    <w:pPr>
      <w:pStyle w:val="Cabeceraypie"/>
      <w:pBdr>
        <w:top w:val="none" w:sz="0" w:space="0" w:color="auto"/>
        <w:left w:val="none" w:sz="0" w:space="0" w:color="auto"/>
        <w:bottom w:val="none" w:sz="0" w:space="0" w:color="auto"/>
        <w:right w:val="none" w:sz="0" w:space="0" w:color="auto"/>
      </w:pBdr>
      <w:tabs>
        <w:tab w:val="clear" w:pos="9020"/>
        <w:tab w:val="center" w:pos="4819"/>
        <w:tab w:val="right" w:pos="9638"/>
      </w:tabs>
      <w:jc w:val="center"/>
      <w:rPr>
        <w:color w:val="919191"/>
        <w:sz w:val="22"/>
        <w:szCs w:val="22"/>
        <w:lang w:val="es-ES_tradnl"/>
      </w:rPr>
    </w:pPr>
    <w:r w:rsidRPr="00042746">
      <w:rPr>
        <w:color w:val="919191"/>
        <w:sz w:val="22"/>
        <w:szCs w:val="22"/>
        <w:lang w:val="es-ES_tradnl"/>
      </w:rPr>
      <w:t xml:space="preserve">Valoración datos </w:t>
    </w:r>
    <w:r>
      <w:rPr>
        <w:color w:val="919191"/>
        <w:sz w:val="22"/>
        <w:szCs w:val="22"/>
        <w:lang w:val="es-ES_tradnl"/>
      </w:rPr>
      <w:t xml:space="preserve">del SEPE </w:t>
    </w:r>
    <w:r w:rsidR="00186EC6">
      <w:rPr>
        <w:color w:val="919191"/>
        <w:sz w:val="22"/>
        <w:szCs w:val="22"/>
        <w:lang w:val="es-ES_tradnl"/>
      </w:rPr>
      <w:t>Ju</w:t>
    </w:r>
    <w:r w:rsidR="00E56195">
      <w:rPr>
        <w:color w:val="919191"/>
        <w:sz w:val="22"/>
        <w:szCs w:val="22"/>
        <w:lang w:val="es-ES_tradnl"/>
      </w:rPr>
      <w:t>l</w:t>
    </w:r>
    <w:r w:rsidR="00186EC6">
      <w:rPr>
        <w:color w:val="919191"/>
        <w:sz w:val="22"/>
        <w:szCs w:val="22"/>
        <w:lang w:val="es-ES_tradnl"/>
      </w:rPr>
      <w:t>io</w:t>
    </w:r>
    <w:r>
      <w:rPr>
        <w:color w:val="919191"/>
        <w:sz w:val="22"/>
        <w:szCs w:val="22"/>
        <w:lang w:val="es-ES_tradnl"/>
      </w:rPr>
      <w:t xml:space="preserve"> </w:t>
    </w:r>
    <w:r w:rsidRPr="00042746">
      <w:rPr>
        <w:color w:val="919191"/>
        <w:sz w:val="22"/>
        <w:szCs w:val="22"/>
        <w:lang w:val="es-ES_tradnl"/>
      </w:rPr>
      <w:t>de 202</w:t>
    </w:r>
    <w:r>
      <w:rPr>
        <w:color w:val="919191"/>
        <w:sz w:val="22"/>
        <w:szCs w:val="22"/>
        <w:lang w:val="es-ES_tradnl"/>
      </w:rPr>
      <w:t>1</w:t>
    </w:r>
  </w:p>
  <w:p w14:paraId="4309D10F" w14:textId="79B8317F" w:rsidR="008E0D95" w:rsidRDefault="008E0D95">
    <w:pPr>
      <w:pStyle w:val="Encabezado"/>
    </w:pPr>
    <w:r>
      <w:rPr>
        <w:noProof/>
      </w:rPr>
      <w:drawing>
        <wp:anchor distT="152400" distB="152400" distL="152400" distR="152400" simplePos="0" relativeHeight="251658240" behindDoc="0" locked="0" layoutInCell="1" allowOverlap="1" wp14:anchorId="2D801EB8" wp14:editId="5415DB9B">
          <wp:simplePos x="0" y="0"/>
          <wp:positionH relativeFrom="page">
            <wp:posOffset>6520180</wp:posOffset>
          </wp:positionH>
          <wp:positionV relativeFrom="page">
            <wp:posOffset>0</wp:posOffset>
          </wp:positionV>
          <wp:extent cx="643255" cy="638175"/>
          <wp:effectExtent l="0" t="0" r="0" b="9525"/>
          <wp:wrapThrough wrapText="bothSides">
            <wp:wrapPolygon edited="0">
              <wp:start x="3838" y="0"/>
              <wp:lineTo x="1279" y="21278"/>
              <wp:lineTo x="15352" y="21278"/>
              <wp:lineTo x="15992" y="20633"/>
              <wp:lineTo x="18551" y="0"/>
              <wp:lineTo x="3838"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3255" cy="6381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714B4"/>
    <w:multiLevelType w:val="hybridMultilevel"/>
    <w:tmpl w:val="A56C9626"/>
    <w:lvl w:ilvl="0" w:tplc="3AE02382">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305A37"/>
    <w:multiLevelType w:val="hybridMultilevel"/>
    <w:tmpl w:val="A67C70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9F71909"/>
    <w:multiLevelType w:val="hybridMultilevel"/>
    <w:tmpl w:val="425C34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D812B62"/>
    <w:multiLevelType w:val="multilevel"/>
    <w:tmpl w:val="16844678"/>
    <w:lvl w:ilvl="0">
      <w:start w:val="1"/>
      <w:numFmt w:val="bullet"/>
      <w:lvlText w:val="-"/>
      <w:lvlJc w:val="left"/>
      <w:pPr>
        <w:ind w:left="283" w:hanging="283"/>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512" w:hanging="432"/>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2232" w:hanging="432"/>
      </w:pPr>
      <w:rPr>
        <w:rFonts w:ascii="Arimo" w:eastAsia="Arimo" w:hAnsi="Arimo" w:cs="Arimo"/>
        <w:b w:val="0"/>
        <w:i w:val="0"/>
        <w:smallCaps w:val="0"/>
        <w:strike w:val="0"/>
        <w:shd w:val="clear" w:color="auto" w:fill="auto"/>
        <w:vertAlign w:val="baseline"/>
      </w:rPr>
    </w:lvl>
    <w:lvl w:ilvl="3">
      <w:start w:val="1"/>
      <w:numFmt w:val="bullet"/>
      <w:lvlText w:val="●"/>
      <w:lvlJc w:val="left"/>
      <w:pPr>
        <w:ind w:left="2952" w:hanging="432"/>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672" w:hanging="432"/>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392" w:hanging="432"/>
      </w:pPr>
      <w:rPr>
        <w:rFonts w:ascii="Arimo" w:eastAsia="Arimo" w:hAnsi="Arimo" w:cs="Arimo"/>
        <w:b w:val="0"/>
        <w:i w:val="0"/>
        <w:smallCaps w:val="0"/>
        <w:strike w:val="0"/>
        <w:shd w:val="clear" w:color="auto" w:fill="auto"/>
        <w:vertAlign w:val="baseline"/>
      </w:rPr>
    </w:lvl>
    <w:lvl w:ilvl="6">
      <w:start w:val="1"/>
      <w:numFmt w:val="bullet"/>
      <w:lvlText w:val="●"/>
      <w:lvlJc w:val="left"/>
      <w:pPr>
        <w:ind w:left="5112" w:hanging="432"/>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832" w:hanging="432"/>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552" w:hanging="432"/>
      </w:pPr>
      <w:rPr>
        <w:rFonts w:ascii="Arimo" w:eastAsia="Arimo" w:hAnsi="Arimo" w:cs="Arimo"/>
        <w:b w:val="0"/>
        <w:i w:val="0"/>
        <w:smallCaps w:val="0"/>
        <w:strike w:val="0"/>
        <w:shd w:val="clear" w:color="auto" w:fill="auto"/>
        <w:vertAlign w:val="baseline"/>
      </w:rPr>
    </w:lvl>
  </w:abstractNum>
  <w:abstractNum w:abstractNumId="4" w15:restartNumberingAfterBreak="0">
    <w:nsid w:val="51D9498B"/>
    <w:multiLevelType w:val="hybridMultilevel"/>
    <w:tmpl w:val="564035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hyphenationZone w:val="425"/>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13C9"/>
    <w:rsid w:val="00036C21"/>
    <w:rsid w:val="00042746"/>
    <w:rsid w:val="00046AD9"/>
    <w:rsid w:val="00055948"/>
    <w:rsid w:val="000F7990"/>
    <w:rsid w:val="00105739"/>
    <w:rsid w:val="00186EC6"/>
    <w:rsid w:val="0019509B"/>
    <w:rsid w:val="001C1A5A"/>
    <w:rsid w:val="001D7782"/>
    <w:rsid w:val="001E3377"/>
    <w:rsid w:val="00206442"/>
    <w:rsid w:val="00247AB7"/>
    <w:rsid w:val="002513B3"/>
    <w:rsid w:val="00260961"/>
    <w:rsid w:val="00295049"/>
    <w:rsid w:val="002B1910"/>
    <w:rsid w:val="002D26E9"/>
    <w:rsid w:val="002E0CD1"/>
    <w:rsid w:val="002F5B97"/>
    <w:rsid w:val="00357400"/>
    <w:rsid w:val="0047055B"/>
    <w:rsid w:val="004934F7"/>
    <w:rsid w:val="005213C9"/>
    <w:rsid w:val="005A0C9A"/>
    <w:rsid w:val="005B42E3"/>
    <w:rsid w:val="005D3292"/>
    <w:rsid w:val="005D72BD"/>
    <w:rsid w:val="00603FB8"/>
    <w:rsid w:val="00604F42"/>
    <w:rsid w:val="00612D90"/>
    <w:rsid w:val="00615246"/>
    <w:rsid w:val="006623BD"/>
    <w:rsid w:val="006B3FFF"/>
    <w:rsid w:val="006B64D3"/>
    <w:rsid w:val="006F760C"/>
    <w:rsid w:val="007D4FA6"/>
    <w:rsid w:val="007E04D2"/>
    <w:rsid w:val="008106C8"/>
    <w:rsid w:val="00846B65"/>
    <w:rsid w:val="00872D70"/>
    <w:rsid w:val="0088305A"/>
    <w:rsid w:val="008A61C7"/>
    <w:rsid w:val="008E0D95"/>
    <w:rsid w:val="00927D5D"/>
    <w:rsid w:val="00A52A37"/>
    <w:rsid w:val="00A932AE"/>
    <w:rsid w:val="00AA463A"/>
    <w:rsid w:val="00AB72F4"/>
    <w:rsid w:val="00AE358F"/>
    <w:rsid w:val="00B015ED"/>
    <w:rsid w:val="00B037B3"/>
    <w:rsid w:val="00B73C27"/>
    <w:rsid w:val="00BE4392"/>
    <w:rsid w:val="00C343A7"/>
    <w:rsid w:val="00CA2FA5"/>
    <w:rsid w:val="00D06A07"/>
    <w:rsid w:val="00D61059"/>
    <w:rsid w:val="00D67B23"/>
    <w:rsid w:val="00E324CD"/>
    <w:rsid w:val="00E56195"/>
    <w:rsid w:val="00EA5D91"/>
    <w:rsid w:val="00ED3285"/>
    <w:rsid w:val="00F06CB7"/>
    <w:rsid w:val="00F45069"/>
    <w:rsid w:val="00F52209"/>
    <w:rsid w:val="00F70A63"/>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6AF5AC6"/>
  <w15:docId w15:val="{30E15B58-44E2-46CB-9FBF-ED478DBB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ES" w:eastAsia="zh-CN" w:bidi="hi-I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color w:val="00000A"/>
      <w:sz w:val="21"/>
      <w:szCs w:val="24"/>
      <w:lang w:bidi="ar-SA"/>
    </w:rPr>
  </w:style>
  <w:style w:type="paragraph" w:styleId="Ttulo2">
    <w:name w:val="heading 2"/>
    <w:basedOn w:val="Normal"/>
    <w:next w:val="Normal"/>
    <w:link w:val="Ttulo2Car"/>
    <w:unhideWhenUsed/>
    <w:qFormat/>
    <w:rsid w:val="0035740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Vietas">
    <w:name w:val="Viñetas"/>
    <w:qFormat/>
    <w:rPr>
      <w:rFonts w:ascii="OpenSymbol" w:eastAsia="OpenSymbol" w:hAnsi="OpenSymbol" w:cs="OpenSymbol"/>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EnlacedeInternet">
    <w:name w:val="Enlace de Internet"/>
    <w:rPr>
      <w:color w:val="000080"/>
      <w:u w:val="single"/>
    </w:rPr>
  </w:style>
  <w:style w:type="character" w:customStyle="1" w:styleId="Muydestacado">
    <w:name w:val="Muy destacado"/>
    <w:qFormat/>
    <w:rPr>
      <w:b/>
      <w:bCs/>
    </w:rPr>
  </w:style>
  <w:style w:type="paragraph" w:styleId="Ttulo">
    <w:name w:val="Title"/>
    <w:basedOn w:val="Normal"/>
    <w:next w:val="Textoindependiente"/>
    <w:qFormat/>
    <w:pPr>
      <w:keepNext/>
      <w:spacing w:before="240" w:after="120"/>
    </w:pPr>
    <w:rPr>
      <w:rFonts w:ascii="Liberation Sans" w:eastAsia="Noto Sans CJK SC Regular" w:hAnsi="Liberation Sans" w:cs="Free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FreeSans"/>
    </w:rPr>
  </w:style>
  <w:style w:type="paragraph" w:styleId="Descripcin">
    <w:name w:val="caption"/>
    <w:basedOn w:val="Normal"/>
    <w:qFormat/>
    <w:pPr>
      <w:suppressLineNumbers/>
      <w:spacing w:before="120" w:after="120"/>
    </w:pPr>
    <w:rPr>
      <w:rFonts w:cs="FreeSans"/>
      <w:i/>
      <w:iCs/>
      <w:sz w:val="24"/>
    </w:rPr>
  </w:style>
  <w:style w:type="paragraph" w:customStyle="1" w:styleId="ndice">
    <w:name w:val="Índice"/>
    <w:basedOn w:val="Normal"/>
    <w:qFormat/>
    <w:pPr>
      <w:suppressLineNumbers/>
    </w:pPr>
    <w:rPr>
      <w:rFonts w:cs="FreeSans"/>
    </w:rPr>
  </w:style>
  <w:style w:type="character" w:styleId="Hipervnculo">
    <w:name w:val="Hyperlink"/>
    <w:basedOn w:val="Fuentedeprrafopredeter"/>
    <w:rsid w:val="00615246"/>
    <w:rPr>
      <w:color w:val="0563C1" w:themeColor="hyperlink"/>
      <w:u w:val="single"/>
    </w:rPr>
  </w:style>
  <w:style w:type="character" w:styleId="Mencinsinresolver">
    <w:name w:val="Unresolved Mention"/>
    <w:basedOn w:val="Fuentedeprrafopredeter"/>
    <w:uiPriority w:val="99"/>
    <w:semiHidden/>
    <w:unhideWhenUsed/>
    <w:rsid w:val="00615246"/>
    <w:rPr>
      <w:color w:val="605E5C"/>
      <w:shd w:val="clear" w:color="auto" w:fill="E1DFDD"/>
    </w:rPr>
  </w:style>
  <w:style w:type="paragraph" w:styleId="Prrafodelista">
    <w:name w:val="List Paragraph"/>
    <w:basedOn w:val="Normal"/>
    <w:uiPriority w:val="34"/>
    <w:qFormat/>
    <w:rsid w:val="00615246"/>
    <w:pPr>
      <w:ind w:left="720"/>
      <w:contextualSpacing/>
    </w:pPr>
  </w:style>
  <w:style w:type="paragraph" w:styleId="Encabezado">
    <w:name w:val="header"/>
    <w:basedOn w:val="Normal"/>
    <w:link w:val="EncabezadoCar"/>
    <w:rsid w:val="008E0D95"/>
    <w:pPr>
      <w:tabs>
        <w:tab w:val="center" w:pos="4252"/>
        <w:tab w:val="right" w:pos="8504"/>
      </w:tabs>
    </w:pPr>
  </w:style>
  <w:style w:type="character" w:customStyle="1" w:styleId="EncabezadoCar">
    <w:name w:val="Encabezado Car"/>
    <w:basedOn w:val="Fuentedeprrafopredeter"/>
    <w:link w:val="Encabezado"/>
    <w:rsid w:val="008E0D95"/>
    <w:rPr>
      <w:color w:val="00000A"/>
      <w:sz w:val="21"/>
      <w:szCs w:val="24"/>
      <w:lang w:bidi="ar-SA"/>
    </w:rPr>
  </w:style>
  <w:style w:type="paragraph" w:styleId="Piedepgina">
    <w:name w:val="footer"/>
    <w:basedOn w:val="Normal"/>
    <w:link w:val="PiedepginaCar"/>
    <w:rsid w:val="008E0D95"/>
    <w:pPr>
      <w:tabs>
        <w:tab w:val="center" w:pos="4252"/>
        <w:tab w:val="right" w:pos="8504"/>
      </w:tabs>
    </w:pPr>
  </w:style>
  <w:style w:type="character" w:customStyle="1" w:styleId="PiedepginaCar">
    <w:name w:val="Pie de página Car"/>
    <w:basedOn w:val="Fuentedeprrafopredeter"/>
    <w:link w:val="Piedepgina"/>
    <w:rsid w:val="008E0D95"/>
    <w:rPr>
      <w:color w:val="00000A"/>
      <w:sz w:val="21"/>
      <w:szCs w:val="24"/>
      <w:lang w:bidi="ar-SA"/>
    </w:rPr>
  </w:style>
  <w:style w:type="paragraph" w:styleId="NormalWeb">
    <w:name w:val="Normal (Web)"/>
    <w:basedOn w:val="Normal"/>
    <w:uiPriority w:val="99"/>
    <w:unhideWhenUsed/>
    <w:rsid w:val="008E0D95"/>
    <w:pPr>
      <w:widowControl/>
      <w:spacing w:before="100" w:beforeAutospacing="1" w:after="100" w:afterAutospacing="1"/>
      <w:jc w:val="left"/>
    </w:pPr>
    <w:rPr>
      <w:rFonts w:ascii="Times New Roman" w:eastAsia="Times New Roman" w:hAnsi="Times New Roman" w:cs="Times New Roman"/>
      <w:color w:val="auto"/>
      <w:sz w:val="24"/>
      <w:lang w:eastAsia="es-ES_tradnl"/>
    </w:rPr>
  </w:style>
  <w:style w:type="character" w:styleId="Refdecomentario">
    <w:name w:val="annotation reference"/>
    <w:basedOn w:val="Fuentedeprrafopredeter"/>
    <w:uiPriority w:val="99"/>
    <w:rsid w:val="00BE4392"/>
    <w:rPr>
      <w:sz w:val="16"/>
      <w:szCs w:val="16"/>
    </w:rPr>
  </w:style>
  <w:style w:type="paragraph" w:styleId="Textocomentario">
    <w:name w:val="annotation text"/>
    <w:basedOn w:val="Normal"/>
    <w:link w:val="TextocomentarioCar"/>
    <w:uiPriority w:val="99"/>
    <w:rsid w:val="00BE4392"/>
    <w:rPr>
      <w:sz w:val="20"/>
      <w:szCs w:val="20"/>
    </w:rPr>
  </w:style>
  <w:style w:type="character" w:customStyle="1" w:styleId="TextocomentarioCar">
    <w:name w:val="Texto comentario Car"/>
    <w:basedOn w:val="Fuentedeprrafopredeter"/>
    <w:link w:val="Textocomentario"/>
    <w:uiPriority w:val="99"/>
    <w:rsid w:val="00BE4392"/>
    <w:rPr>
      <w:color w:val="00000A"/>
      <w:lang w:bidi="ar-SA"/>
    </w:rPr>
  </w:style>
  <w:style w:type="paragraph" w:styleId="Asuntodelcomentario">
    <w:name w:val="annotation subject"/>
    <w:basedOn w:val="Textocomentario"/>
    <w:next w:val="Textocomentario"/>
    <w:link w:val="AsuntodelcomentarioCar"/>
    <w:rsid w:val="00BE4392"/>
    <w:rPr>
      <w:b/>
      <w:bCs/>
    </w:rPr>
  </w:style>
  <w:style w:type="character" w:customStyle="1" w:styleId="AsuntodelcomentarioCar">
    <w:name w:val="Asunto del comentario Car"/>
    <w:basedOn w:val="TextocomentarioCar"/>
    <w:link w:val="Asuntodelcomentario"/>
    <w:rsid w:val="00BE4392"/>
    <w:rPr>
      <w:b/>
      <w:bCs/>
      <w:color w:val="00000A"/>
      <w:lang w:bidi="ar-SA"/>
    </w:rPr>
  </w:style>
  <w:style w:type="paragraph" w:styleId="Textodeglobo">
    <w:name w:val="Balloon Text"/>
    <w:basedOn w:val="Normal"/>
    <w:link w:val="TextodegloboCar"/>
    <w:rsid w:val="00BE4392"/>
    <w:rPr>
      <w:rFonts w:ascii="Segoe UI" w:hAnsi="Segoe UI" w:cs="Segoe UI"/>
      <w:sz w:val="18"/>
      <w:szCs w:val="18"/>
    </w:rPr>
  </w:style>
  <w:style w:type="character" w:customStyle="1" w:styleId="TextodegloboCar">
    <w:name w:val="Texto de globo Car"/>
    <w:basedOn w:val="Fuentedeprrafopredeter"/>
    <w:link w:val="Textodeglobo"/>
    <w:rsid w:val="00BE4392"/>
    <w:rPr>
      <w:rFonts w:ascii="Segoe UI" w:hAnsi="Segoe UI" w:cs="Segoe UI"/>
      <w:color w:val="00000A"/>
      <w:sz w:val="18"/>
      <w:szCs w:val="18"/>
      <w:lang w:bidi="ar-SA"/>
    </w:rPr>
  </w:style>
  <w:style w:type="paragraph" w:customStyle="1" w:styleId="Cabeceraypie">
    <w:name w:val="Cabecera y pie"/>
    <w:rsid w:val="00042746"/>
    <w:pPr>
      <w:pBdr>
        <w:top w:val="none" w:sz="96" w:space="31" w:color="FFFFFF" w:shadow="1" w:frame="1"/>
        <w:left w:val="none" w:sz="96" w:space="31" w:color="FFFFFF" w:shadow="1" w:frame="1"/>
        <w:bottom w:val="none" w:sz="96" w:space="31" w:color="FFFFFF" w:shadow="1" w:frame="1"/>
        <w:right w:val="none" w:sz="96" w:space="31" w:color="FFFFFF" w:shadow="1" w:frame="1"/>
      </w:pBdr>
      <w:tabs>
        <w:tab w:val="right" w:pos="9020"/>
      </w:tabs>
    </w:pPr>
    <w:rPr>
      <w:rFonts w:ascii="Arial" w:eastAsia="Times New Roman" w:hAnsi="Arial" w:cs="Arial Unicode MS"/>
      <w:color w:val="3A7AB2"/>
      <w:sz w:val="28"/>
      <w:szCs w:val="28"/>
      <w:lang w:eastAsia="es-ES" w:bidi="ar-SA"/>
    </w:rPr>
  </w:style>
  <w:style w:type="character" w:customStyle="1" w:styleId="Ttulo2Car">
    <w:name w:val="Título 2 Car"/>
    <w:basedOn w:val="Fuentedeprrafopredeter"/>
    <w:link w:val="Ttulo2"/>
    <w:rsid w:val="00357400"/>
    <w:rPr>
      <w:rFonts w:asciiTheme="majorHAnsi" w:eastAsiaTheme="majorEastAsia" w:hAnsiTheme="majorHAnsi" w:cstheme="majorBidi"/>
      <w:color w:val="2E74B5" w:themeColor="accent1" w:themeShade="BF"/>
      <w:sz w:val="26"/>
      <w:szCs w:val="26"/>
      <w:lang w:bidi="ar-SA"/>
    </w:rPr>
  </w:style>
  <w:style w:type="table" w:styleId="Tablaconcuadrcula1clara-nfasis1">
    <w:name w:val="Grid Table 1 Light Accent 1"/>
    <w:basedOn w:val="Tablanormal"/>
    <w:uiPriority w:val="46"/>
    <w:rsid w:val="00E56195"/>
    <w:rPr>
      <w:rFonts w:eastAsiaTheme="minorHAnsi"/>
      <w:sz w:val="22"/>
      <w:szCs w:val="22"/>
      <w:lang w:eastAsia="en-US" w:bidi="ar-SA"/>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aconcuadrculaclara">
    <w:name w:val="Grid Table Light"/>
    <w:basedOn w:val="Tablanormal"/>
    <w:uiPriority w:val="40"/>
    <w:rsid w:val="00E56195"/>
    <w:rPr>
      <w:rFonts w:eastAsiaTheme="minorHAnsi"/>
      <w:sz w:val="22"/>
      <w:szCs w:val="22"/>
      <w:lang w:eastAsia="en-US"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14867">
      <w:bodyDiv w:val="1"/>
      <w:marLeft w:val="0"/>
      <w:marRight w:val="0"/>
      <w:marTop w:val="0"/>
      <w:marBottom w:val="0"/>
      <w:divBdr>
        <w:top w:val="none" w:sz="0" w:space="0" w:color="auto"/>
        <w:left w:val="none" w:sz="0" w:space="0" w:color="auto"/>
        <w:bottom w:val="none" w:sz="0" w:space="0" w:color="auto"/>
        <w:right w:val="none" w:sz="0" w:space="0" w:color="auto"/>
      </w:divBdr>
    </w:div>
    <w:div w:id="143858049">
      <w:bodyDiv w:val="1"/>
      <w:marLeft w:val="0"/>
      <w:marRight w:val="0"/>
      <w:marTop w:val="0"/>
      <w:marBottom w:val="0"/>
      <w:divBdr>
        <w:top w:val="none" w:sz="0" w:space="0" w:color="auto"/>
        <w:left w:val="none" w:sz="0" w:space="0" w:color="auto"/>
        <w:bottom w:val="none" w:sz="0" w:space="0" w:color="auto"/>
        <w:right w:val="none" w:sz="0" w:space="0" w:color="auto"/>
      </w:divBdr>
    </w:div>
    <w:div w:id="210043144">
      <w:bodyDiv w:val="1"/>
      <w:marLeft w:val="0"/>
      <w:marRight w:val="0"/>
      <w:marTop w:val="0"/>
      <w:marBottom w:val="0"/>
      <w:divBdr>
        <w:top w:val="none" w:sz="0" w:space="0" w:color="auto"/>
        <w:left w:val="none" w:sz="0" w:space="0" w:color="auto"/>
        <w:bottom w:val="none" w:sz="0" w:space="0" w:color="auto"/>
        <w:right w:val="none" w:sz="0" w:space="0" w:color="auto"/>
      </w:divBdr>
    </w:div>
    <w:div w:id="217517763">
      <w:bodyDiv w:val="1"/>
      <w:marLeft w:val="0"/>
      <w:marRight w:val="0"/>
      <w:marTop w:val="0"/>
      <w:marBottom w:val="0"/>
      <w:divBdr>
        <w:top w:val="none" w:sz="0" w:space="0" w:color="auto"/>
        <w:left w:val="none" w:sz="0" w:space="0" w:color="auto"/>
        <w:bottom w:val="none" w:sz="0" w:space="0" w:color="auto"/>
        <w:right w:val="none" w:sz="0" w:space="0" w:color="auto"/>
      </w:divBdr>
    </w:div>
    <w:div w:id="440999783">
      <w:bodyDiv w:val="1"/>
      <w:marLeft w:val="0"/>
      <w:marRight w:val="0"/>
      <w:marTop w:val="0"/>
      <w:marBottom w:val="0"/>
      <w:divBdr>
        <w:top w:val="none" w:sz="0" w:space="0" w:color="auto"/>
        <w:left w:val="none" w:sz="0" w:space="0" w:color="auto"/>
        <w:bottom w:val="none" w:sz="0" w:space="0" w:color="auto"/>
        <w:right w:val="none" w:sz="0" w:space="0" w:color="auto"/>
      </w:divBdr>
    </w:div>
    <w:div w:id="588320457">
      <w:bodyDiv w:val="1"/>
      <w:marLeft w:val="0"/>
      <w:marRight w:val="0"/>
      <w:marTop w:val="0"/>
      <w:marBottom w:val="0"/>
      <w:divBdr>
        <w:top w:val="none" w:sz="0" w:space="0" w:color="auto"/>
        <w:left w:val="none" w:sz="0" w:space="0" w:color="auto"/>
        <w:bottom w:val="none" w:sz="0" w:space="0" w:color="auto"/>
        <w:right w:val="none" w:sz="0" w:space="0" w:color="auto"/>
      </w:divBdr>
    </w:div>
    <w:div w:id="723725070">
      <w:bodyDiv w:val="1"/>
      <w:marLeft w:val="0"/>
      <w:marRight w:val="0"/>
      <w:marTop w:val="0"/>
      <w:marBottom w:val="0"/>
      <w:divBdr>
        <w:top w:val="none" w:sz="0" w:space="0" w:color="auto"/>
        <w:left w:val="none" w:sz="0" w:space="0" w:color="auto"/>
        <w:bottom w:val="none" w:sz="0" w:space="0" w:color="auto"/>
        <w:right w:val="none" w:sz="0" w:space="0" w:color="auto"/>
      </w:divBdr>
    </w:div>
    <w:div w:id="854155063">
      <w:bodyDiv w:val="1"/>
      <w:marLeft w:val="0"/>
      <w:marRight w:val="0"/>
      <w:marTop w:val="0"/>
      <w:marBottom w:val="0"/>
      <w:divBdr>
        <w:top w:val="none" w:sz="0" w:space="0" w:color="auto"/>
        <w:left w:val="none" w:sz="0" w:space="0" w:color="auto"/>
        <w:bottom w:val="none" w:sz="0" w:space="0" w:color="auto"/>
        <w:right w:val="none" w:sz="0" w:space="0" w:color="auto"/>
      </w:divBdr>
    </w:div>
    <w:div w:id="903031125">
      <w:bodyDiv w:val="1"/>
      <w:marLeft w:val="0"/>
      <w:marRight w:val="0"/>
      <w:marTop w:val="0"/>
      <w:marBottom w:val="0"/>
      <w:divBdr>
        <w:top w:val="none" w:sz="0" w:space="0" w:color="auto"/>
        <w:left w:val="none" w:sz="0" w:space="0" w:color="auto"/>
        <w:bottom w:val="none" w:sz="0" w:space="0" w:color="auto"/>
        <w:right w:val="none" w:sz="0" w:space="0" w:color="auto"/>
      </w:divBdr>
    </w:div>
    <w:div w:id="1763069092">
      <w:bodyDiv w:val="1"/>
      <w:marLeft w:val="0"/>
      <w:marRight w:val="0"/>
      <w:marTop w:val="0"/>
      <w:marBottom w:val="0"/>
      <w:divBdr>
        <w:top w:val="none" w:sz="0" w:space="0" w:color="auto"/>
        <w:left w:val="none" w:sz="0" w:space="0" w:color="auto"/>
        <w:bottom w:val="none" w:sz="0" w:space="0" w:color="auto"/>
        <w:right w:val="none" w:sz="0" w:space="0" w:color="auto"/>
      </w:divBdr>
    </w:div>
    <w:div w:id="1851338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otocasa.es/es/" TargetMode="External"/><Relationship Id="rId13" Type="http://schemas.openxmlformats.org/officeDocument/2006/relationships/hyperlink" Target="https://www.adevinta.com/es/spai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tos.coches.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ches.net/" TargetMode="External"/><Relationship Id="rId5" Type="http://schemas.openxmlformats.org/officeDocument/2006/relationships/webSettings" Target="webSettings.xml"/><Relationship Id="rId15" Type="http://schemas.openxmlformats.org/officeDocument/2006/relationships/hyperlink" Target="mailto:infojobs@evercom.es" TargetMode="External"/><Relationship Id="rId10" Type="http://schemas.openxmlformats.org/officeDocument/2006/relationships/hyperlink" Target="https://www.infojobs.net/" TargetMode="External"/><Relationship Id="rId4" Type="http://schemas.openxmlformats.org/officeDocument/2006/relationships/settings" Target="settings.xml"/><Relationship Id="rId9" Type="http://schemas.openxmlformats.org/officeDocument/2006/relationships/hyperlink" Target="https://www.habitaclia.com/" TargetMode="External"/><Relationship Id="rId14" Type="http://schemas.openxmlformats.org/officeDocument/2006/relationships/hyperlink" Target="mailto:prensa@infojobs.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1738</TotalTime>
  <Pages>3</Pages>
  <Words>777</Words>
  <Characters>4277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dc:description/>
  <cp:lastModifiedBy>Albert Cuesta</cp:lastModifiedBy>
  <cp:revision>92</cp:revision>
  <dcterms:created xsi:type="dcterms:W3CDTF">2016-12-02T03:33:00Z</dcterms:created>
  <dcterms:modified xsi:type="dcterms:W3CDTF">2021-08-03T08:37:00Z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3082-10.1.0.5672</vt:lpwstr>
  </property>
  <property fmtid="{D5CDD505-2E9C-101B-9397-08002B2CF9AE}" pid="4" name="LinksUpToDate">
    <vt:bool>false</vt:bool>
  </property>
  <property fmtid="{D5CDD505-2E9C-101B-9397-08002B2CF9AE}" pid="5" name="ScaleCrop">
    <vt:bool>false</vt:bool>
  </property>
</Properties>
</file>