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240" w:lineRule="auto"/>
        <w:jc w:val="center"/>
        <w:rPr>
          <w:rFonts w:ascii="Arial" w:cs="Arial" w:eastAsia="Arial" w:hAnsi="Arial"/>
          <w:color w:val="0070c0"/>
          <w:sz w:val="40"/>
          <w:szCs w:val="40"/>
        </w:rPr>
      </w:pPr>
      <w:r w:rsidDel="00000000" w:rsidR="00000000" w:rsidRPr="00000000">
        <w:rPr>
          <w:rFonts w:ascii="Arial" w:cs="Arial" w:eastAsia="Arial" w:hAnsi="Arial"/>
          <w:color w:val="0070c0"/>
          <w:sz w:val="40"/>
          <w:szCs w:val="40"/>
          <w:rtl w:val="0"/>
        </w:rPr>
        <w:t xml:space="preserve">Las vacantes de empleo en InfoJobs aumentan un 13% en junio impulsadas por las contrataciones temporales de verano</w:t>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line="276" w:lineRule="auto"/>
        <w:ind w:left="360" w:firstLine="0"/>
        <w:rPr>
          <w:rFonts w:ascii="Arial" w:cs="Arial" w:eastAsia="Arial" w:hAnsi="Arial"/>
          <w:b w:val="1"/>
          <w:color w:val="0070c0"/>
          <w:sz w:val="20"/>
          <w:szCs w:val="20"/>
          <w:highlight w:val="yellow"/>
        </w:rPr>
      </w:pPr>
      <w:r w:rsidDel="00000000" w:rsidR="00000000" w:rsidRPr="00000000">
        <w:rPr>
          <w:rtl w:val="0"/>
        </w:rPr>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hd w:fill="ffffff" w:val="clear"/>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La modalidad contractual temporal o por causas de producción aumenta un 17% en la plataforma en comparación con </w:t>
      </w:r>
      <w:r w:rsidDel="00000000" w:rsidR="00000000" w:rsidRPr="00000000">
        <w:rPr>
          <w:rFonts w:ascii="Arial" w:cs="Arial" w:eastAsia="Arial" w:hAnsi="Arial"/>
          <w:b w:val="1"/>
          <w:color w:val="0070c0"/>
          <w:sz w:val="20"/>
          <w:szCs w:val="20"/>
          <w:rtl w:val="0"/>
        </w:rPr>
        <w:t xml:space="preserve">mayo</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ffffff" w:val="clear"/>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Destacan el crecimiento de Educación y formación (+70%), Calidad, producción e I+D (+22%) y Compras, logística y almacén (+14%) </w:t>
      </w:r>
    </w:p>
    <w:p w:rsidR="00000000" w:rsidDel="00000000" w:rsidP="00000000" w:rsidRDefault="00000000" w:rsidRPr="00000000" w14:paraId="00000005">
      <w:pPr>
        <w:numPr>
          <w:ilvl w:val="0"/>
          <w:numId w:val="1"/>
        </w:numPr>
        <w:shd w:fill="ffffff" w:val="clear"/>
        <w:ind w:left="360" w:hanging="360"/>
        <w:rPr>
          <w:rFonts w:ascii="Arial" w:cs="Arial" w:eastAsia="Arial" w:hAnsi="Arial"/>
          <w:b w:val="1"/>
          <w:sz w:val="20"/>
          <w:szCs w:val="20"/>
        </w:rPr>
      </w:pPr>
      <w:r w:rsidDel="00000000" w:rsidR="00000000" w:rsidRPr="00000000">
        <w:rPr>
          <w:rFonts w:ascii="Arial" w:cs="Arial" w:eastAsia="Arial" w:hAnsi="Arial"/>
          <w:b w:val="1"/>
          <w:color w:val="0070c0"/>
          <w:sz w:val="20"/>
          <w:szCs w:val="20"/>
          <w:rtl w:val="0"/>
        </w:rPr>
        <w:t xml:space="preserve">Las contrataciones temporales de verano mantienen la recuperación de la categoría Turismo y restauración, que registra un crecimiento del 40%</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ffffff" w:val="clear"/>
        <w:ind w:left="360" w:hanging="360"/>
        <w:rPr>
          <w:rFonts w:ascii="Arial" w:cs="Arial" w:eastAsia="Arial" w:hAnsi="Arial"/>
          <w:b w:val="1"/>
          <w:color w:val="0070c0"/>
          <w:sz w:val="20"/>
          <w:szCs w:val="20"/>
        </w:rPr>
      </w:pPr>
      <w:r w:rsidDel="00000000" w:rsidR="00000000" w:rsidRPr="00000000">
        <w:rPr>
          <w:rFonts w:ascii="Arial" w:cs="Arial" w:eastAsia="Arial" w:hAnsi="Arial"/>
          <w:b w:val="1"/>
          <w:color w:val="0070c0"/>
          <w:sz w:val="20"/>
          <w:szCs w:val="20"/>
          <w:rtl w:val="0"/>
        </w:rPr>
        <w:t xml:space="preserve">#</w:t>
      </w:r>
      <w:r w:rsidDel="00000000" w:rsidR="00000000" w:rsidRPr="00000000">
        <w:rPr>
          <w:rFonts w:ascii="Arial" w:cs="Arial" w:eastAsia="Arial" w:hAnsi="Arial"/>
          <w:b w:val="1"/>
          <w:color w:val="0070c0"/>
          <w:sz w:val="20"/>
          <w:szCs w:val="20"/>
          <w:rtl w:val="0"/>
        </w:rPr>
        <w:t xml:space="preserve">LosProfesionalesMásDemandados</w:t>
      </w:r>
      <w:r w:rsidDel="00000000" w:rsidR="00000000" w:rsidRPr="00000000">
        <w:rPr>
          <w:rFonts w:ascii="Arial" w:cs="Arial" w:eastAsia="Arial" w:hAnsi="Arial"/>
          <w:b w:val="1"/>
          <w:color w:val="0070c0"/>
          <w:sz w:val="20"/>
          <w:szCs w:val="20"/>
          <w:rtl w:val="0"/>
        </w:rPr>
        <w:t xml:space="preserve">: teleoperador/a, representante comercial y conductor/a de vehículo de reparto ocupan los tres primeros puestos</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ffffff" w:val="clear"/>
        <w:spacing w:line="360" w:lineRule="auto"/>
        <w:ind w:left="360" w:firstLine="0"/>
        <w:jc w:val="both"/>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ff0000"/>
          <w:sz w:val="20"/>
          <w:szCs w:val="20"/>
        </w:rPr>
      </w:pPr>
      <w:r w:rsidDel="00000000" w:rsidR="00000000" w:rsidRPr="00000000">
        <w:rPr>
          <w:rFonts w:ascii="Arial" w:cs="Arial" w:eastAsia="Arial" w:hAnsi="Arial"/>
          <w:b w:val="1"/>
          <w:color w:val="000000"/>
          <w:sz w:val="20"/>
          <w:szCs w:val="20"/>
          <w:rtl w:val="0"/>
        </w:rPr>
        <w:t xml:space="preserve">Madrid, a 8 de julio de 2021.- </w:t>
      </w:r>
      <w:hyperlink r:id="rId7">
        <w:r w:rsidDel="00000000" w:rsidR="00000000" w:rsidRPr="00000000">
          <w:rPr>
            <w:rFonts w:ascii="Arial" w:cs="Arial" w:eastAsia="Arial" w:hAnsi="Arial"/>
            <w:color w:val="0070c0"/>
            <w:sz w:val="20"/>
            <w:szCs w:val="20"/>
            <w:u w:val="single"/>
            <w:rtl w:val="0"/>
          </w:rPr>
          <w:t xml:space="preserve">InfoJobs</w:t>
        </w:r>
      </w:hyperlink>
      <w:r w:rsidDel="00000000" w:rsidR="00000000" w:rsidRPr="00000000">
        <w:rPr>
          <w:rFonts w:ascii="Arial" w:cs="Arial" w:eastAsia="Arial" w:hAnsi="Arial"/>
          <w:color w:val="000000"/>
          <w:sz w:val="20"/>
          <w:szCs w:val="20"/>
          <w:rtl w:val="0"/>
        </w:rPr>
        <w:t xml:space="preserve">, plataforma líder en empleo en España,</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registró el pasado mes de</w:t>
      </w:r>
      <w:r w:rsidDel="00000000" w:rsidR="00000000" w:rsidRPr="00000000">
        <w:rPr>
          <w:rFonts w:ascii="Arial" w:cs="Arial" w:eastAsia="Arial" w:hAnsi="Arial"/>
          <w:b w:val="1"/>
          <w:color w:val="000000"/>
          <w:sz w:val="20"/>
          <w:szCs w:val="20"/>
          <w:rtl w:val="0"/>
        </w:rPr>
        <w:t xml:space="preserve"> junio </w:t>
      </w:r>
      <w:r w:rsidDel="00000000" w:rsidR="00000000" w:rsidRPr="00000000">
        <w:rPr>
          <w:rFonts w:ascii="Arial" w:cs="Arial" w:eastAsia="Arial" w:hAnsi="Arial"/>
          <w:b w:val="1"/>
          <w:sz w:val="20"/>
          <w:szCs w:val="20"/>
          <w:rtl w:val="0"/>
        </w:rPr>
        <w:t xml:space="preserve">un crecimiento en la mayoría de las categorías profesionales, a excepción de Administración Pública y </w:t>
      </w:r>
      <w:r w:rsidDel="00000000" w:rsidR="00000000" w:rsidRPr="00000000">
        <w:rPr>
          <w:rFonts w:ascii="Arial" w:cs="Arial" w:eastAsia="Arial" w:hAnsi="Arial"/>
          <w:b w:val="1"/>
          <w:sz w:val="20"/>
          <w:szCs w:val="20"/>
          <w:rtl w:val="0"/>
        </w:rPr>
        <w:t xml:space="preserve">Finanzas y banca,</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con </w:t>
      </w:r>
      <w:r w:rsidDel="00000000" w:rsidR="00000000" w:rsidRPr="00000000">
        <w:rPr>
          <w:rFonts w:ascii="Arial" w:cs="Arial" w:eastAsia="Arial" w:hAnsi="Arial"/>
          <w:color w:val="000000"/>
          <w:sz w:val="20"/>
          <w:szCs w:val="20"/>
          <w:rtl w:val="0"/>
        </w:rPr>
        <w:t xml:space="preserve">un total de</w:t>
      </w:r>
      <w:r w:rsidDel="00000000" w:rsidR="00000000" w:rsidRPr="00000000">
        <w:rPr>
          <w:rFonts w:ascii="Arial" w:cs="Arial" w:eastAsia="Arial" w:hAnsi="Arial"/>
          <w:b w:val="1"/>
          <w:color w:val="000000"/>
          <w:sz w:val="20"/>
          <w:szCs w:val="20"/>
          <w:rtl w:val="0"/>
        </w:rPr>
        <w:t xml:space="preserve"> 213.602 vacantes de empleo </w:t>
      </w:r>
      <w:r w:rsidDel="00000000" w:rsidR="00000000" w:rsidRPr="00000000">
        <w:rPr>
          <w:rFonts w:ascii="Arial" w:cs="Arial" w:eastAsia="Arial" w:hAnsi="Arial"/>
          <w:color w:val="000000"/>
          <w:sz w:val="20"/>
          <w:szCs w:val="20"/>
          <w:rtl w:val="0"/>
        </w:rPr>
        <w:t xml:space="preserve">para trabajar en España</w:t>
      </w:r>
      <w:r w:rsidDel="00000000" w:rsidR="00000000" w:rsidRPr="00000000">
        <w:rPr>
          <w:rFonts w:ascii="Arial" w:cs="Arial" w:eastAsia="Arial" w:hAnsi="Arial"/>
          <w:b w:val="1"/>
          <w:color w:val="000000"/>
          <w:sz w:val="20"/>
          <w:szCs w:val="20"/>
          <w:rtl w:val="0"/>
        </w:rPr>
        <w:t xml:space="preserve">, un 13% más que en</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mayo (188.495).</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09">
      <w:pPr>
        <w:spacing w:after="240" w:before="240" w:line="360" w:lineRule="auto"/>
        <w:jc w:val="both"/>
        <w:rPr>
          <w:rFonts w:ascii="Arial" w:cs="Arial" w:eastAsia="Arial" w:hAnsi="Arial"/>
          <w:b w:val="1"/>
          <w:color w:val="000000"/>
          <w:sz w:val="20"/>
          <w:szCs w:val="20"/>
        </w:rPr>
      </w:pPr>
      <w:r w:rsidDel="00000000" w:rsidR="00000000" w:rsidRPr="00000000">
        <w:rPr>
          <w:rFonts w:ascii="Arial" w:cs="Arial" w:eastAsia="Arial" w:hAnsi="Arial"/>
          <w:sz w:val="20"/>
          <w:szCs w:val="20"/>
          <w:highlight w:val="white"/>
          <w:rtl w:val="0"/>
        </w:rPr>
        <w:t xml:space="preserve">En </w:t>
      </w:r>
      <w:r w:rsidDel="00000000" w:rsidR="00000000" w:rsidRPr="00000000">
        <w:rPr>
          <w:rFonts w:ascii="Arial" w:cs="Arial" w:eastAsia="Arial" w:hAnsi="Arial"/>
          <w:b w:val="1"/>
          <w:sz w:val="20"/>
          <w:szCs w:val="20"/>
          <w:highlight w:val="white"/>
          <w:rtl w:val="0"/>
        </w:rPr>
        <w:t xml:space="preserve">junio de 2020</w:t>
      </w:r>
      <w:r w:rsidDel="00000000" w:rsidR="00000000" w:rsidRPr="00000000">
        <w:rPr>
          <w:rFonts w:ascii="Arial" w:cs="Arial" w:eastAsia="Arial" w:hAnsi="Arial"/>
          <w:sz w:val="20"/>
          <w:szCs w:val="20"/>
          <w:highlight w:val="white"/>
          <w:rtl w:val="0"/>
        </w:rPr>
        <w:t xml:space="preserve"> se ofertaron </w:t>
      </w:r>
      <w:r w:rsidDel="00000000" w:rsidR="00000000" w:rsidRPr="00000000">
        <w:rPr>
          <w:rFonts w:ascii="Arial" w:cs="Arial" w:eastAsia="Arial" w:hAnsi="Arial"/>
          <w:b w:val="1"/>
          <w:sz w:val="20"/>
          <w:szCs w:val="20"/>
          <w:highlight w:val="white"/>
          <w:rtl w:val="0"/>
        </w:rPr>
        <w:t xml:space="preserve">107.091 puestos</w:t>
      </w:r>
      <w:r w:rsidDel="00000000" w:rsidR="00000000" w:rsidRPr="00000000">
        <w:rPr>
          <w:rFonts w:ascii="Arial" w:cs="Arial" w:eastAsia="Arial" w:hAnsi="Arial"/>
          <w:sz w:val="20"/>
          <w:szCs w:val="20"/>
          <w:highlight w:val="white"/>
          <w:rtl w:val="0"/>
        </w:rPr>
        <w:t xml:space="preserve">, registrando una variación interanual positiva (+99%). </w:t>
      </w:r>
      <w:r w:rsidDel="00000000" w:rsidR="00000000" w:rsidRPr="00000000">
        <w:rPr>
          <w:rFonts w:ascii="Arial" w:cs="Arial" w:eastAsia="Arial" w:hAnsi="Arial"/>
          <w:sz w:val="20"/>
          <w:szCs w:val="20"/>
          <w:rtl w:val="0"/>
        </w:rPr>
        <w:t xml:space="preserve">Precisamente en junio del año pasado</w:t>
      </w:r>
      <w:r w:rsidDel="00000000" w:rsidR="00000000" w:rsidRPr="00000000">
        <w:rPr>
          <w:rFonts w:ascii="Arial" w:cs="Arial" w:eastAsia="Arial" w:hAnsi="Arial"/>
          <w:color w:val="000000"/>
          <w:sz w:val="20"/>
          <w:szCs w:val="20"/>
          <w:rtl w:val="0"/>
        </w:rPr>
        <w:t xml:space="preserve">, las cifras de vacantes respecto al periodo de confinamiento registraron una notable mejora, por el hecho de que se suavizaron las restricciones a la movilidad y el comercio, y el mercado pudo abrir tímidamente durante el periodo vacacional. Sin embargo, </w:t>
      </w:r>
      <w:r w:rsidDel="00000000" w:rsidR="00000000" w:rsidRPr="00000000">
        <w:rPr>
          <w:rFonts w:ascii="Arial" w:cs="Arial" w:eastAsia="Arial" w:hAnsi="Arial"/>
          <w:color w:val="000000"/>
          <w:sz w:val="20"/>
          <w:szCs w:val="20"/>
          <w:highlight w:val="white"/>
          <w:rtl w:val="0"/>
        </w:rPr>
        <w:t xml:space="preserve">si comparamos los datos de este año con los de </w:t>
      </w:r>
      <w:r w:rsidDel="00000000" w:rsidR="00000000" w:rsidRPr="00000000">
        <w:rPr>
          <w:rFonts w:ascii="Arial" w:cs="Arial" w:eastAsia="Arial" w:hAnsi="Arial"/>
          <w:b w:val="1"/>
          <w:color w:val="000000"/>
          <w:sz w:val="20"/>
          <w:szCs w:val="20"/>
          <w:rtl w:val="0"/>
        </w:rPr>
        <w:t xml:space="preserve">junio de 2019</w:t>
      </w:r>
      <w:r w:rsidDel="00000000" w:rsidR="00000000" w:rsidRPr="00000000">
        <w:rPr>
          <w:rFonts w:ascii="Arial" w:cs="Arial" w:eastAsia="Arial" w:hAnsi="Arial"/>
          <w:color w:val="000000"/>
          <w:sz w:val="20"/>
          <w:szCs w:val="20"/>
          <w:highlight w:val="white"/>
          <w:rtl w:val="0"/>
        </w:rPr>
        <w:t xml:space="preserve">, observamos que se registraron por entonces </w:t>
      </w:r>
      <w:r w:rsidDel="00000000" w:rsidR="00000000" w:rsidRPr="00000000">
        <w:rPr>
          <w:rFonts w:ascii="Arial" w:cs="Arial" w:eastAsia="Arial" w:hAnsi="Arial"/>
          <w:b w:val="1"/>
          <w:color w:val="000000"/>
          <w:sz w:val="20"/>
          <w:szCs w:val="20"/>
          <w:highlight w:val="white"/>
          <w:rtl w:val="0"/>
        </w:rPr>
        <w:t xml:space="preserve">254.</w:t>
      </w:r>
      <w:r w:rsidDel="00000000" w:rsidR="00000000" w:rsidRPr="00000000">
        <w:rPr>
          <w:rFonts w:ascii="Arial" w:cs="Arial" w:eastAsia="Arial" w:hAnsi="Arial"/>
          <w:b w:val="1"/>
          <w:color w:val="000000"/>
          <w:sz w:val="20"/>
          <w:szCs w:val="20"/>
          <w:rtl w:val="0"/>
        </w:rPr>
        <w:t xml:space="preserve">810</w:t>
      </w:r>
      <w:r w:rsidDel="00000000" w:rsidR="00000000" w:rsidRPr="00000000">
        <w:rPr>
          <w:b w:val="1"/>
          <w:rtl w:val="0"/>
        </w:rPr>
        <w:t xml:space="preserve"> </w:t>
      </w:r>
      <w:r w:rsidDel="00000000" w:rsidR="00000000" w:rsidRPr="00000000">
        <w:rPr>
          <w:rFonts w:ascii="Arial" w:cs="Arial" w:eastAsia="Arial" w:hAnsi="Arial"/>
          <w:b w:val="1"/>
          <w:color w:val="000000"/>
          <w:sz w:val="20"/>
          <w:szCs w:val="20"/>
          <w:rtl w:val="0"/>
        </w:rPr>
        <w:t xml:space="preserve">vacantes</w:t>
      </w:r>
      <w:r w:rsidDel="00000000" w:rsidR="00000000" w:rsidRPr="00000000">
        <w:rPr>
          <w:rFonts w:ascii="Arial" w:cs="Arial" w:eastAsia="Arial" w:hAnsi="Arial"/>
          <w:color w:val="000000"/>
          <w:sz w:val="20"/>
          <w:szCs w:val="20"/>
          <w:rtl w:val="0"/>
        </w:rPr>
        <w:t xml:space="preserve">, lo que significa una caída de casi </w:t>
      </w:r>
      <w:r w:rsidDel="00000000" w:rsidR="00000000" w:rsidRPr="00000000">
        <w:rPr>
          <w:rFonts w:ascii="Arial" w:cs="Arial" w:eastAsia="Arial" w:hAnsi="Arial"/>
          <w:b w:val="1"/>
          <w:color w:val="000000"/>
          <w:sz w:val="20"/>
          <w:szCs w:val="20"/>
          <w:rtl w:val="0"/>
        </w:rPr>
        <w:t xml:space="preserve">un 20%.</w:t>
      </w:r>
      <w:r w:rsidDel="00000000" w:rsidR="00000000" w:rsidRPr="00000000">
        <w:rPr>
          <w:rFonts w:ascii="Arial" w:cs="Arial" w:eastAsia="Arial" w:hAnsi="Arial"/>
          <w:color w:val="000000"/>
          <w:sz w:val="20"/>
          <w:szCs w:val="20"/>
          <w:rtl w:val="0"/>
        </w:rPr>
        <w:t xml:space="preserve"> De esta manera, paulatinamente, se está recuperando la senda de la recuperación económica, cerrándose, así, la brecha respecto a las cifras pre-Covid. </w:t>
      </w:r>
      <w:r w:rsidDel="00000000" w:rsidR="00000000" w:rsidRPr="00000000">
        <w:rPr>
          <w:rtl w:val="0"/>
        </w:rPr>
      </w:r>
    </w:p>
    <w:p w:rsidR="00000000" w:rsidDel="00000000" w:rsidP="00000000" w:rsidRDefault="00000000" w:rsidRPr="00000000" w14:paraId="0000000A">
      <w:pPr>
        <w:spacing w:after="240" w:before="240"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Un mes más, los datos registrados en la plataforma de InfoJobs están alineados con las cifras publicadas por la Seguridad Social y el Ministerio de Trabajo en junio. El mercado laboral español ha sumado 233.056 nuevos afiliados a la Seguridad Social y el paro sigue a la baja por cuarto mes consecutivo, registrando otro descenso récord en la serie histórica. En este sentido, el SEPE restó 166.911 parados y cerró el mes sobre la cota de los 3,6 millones de desempleados. A este balance todavía hay que sumarle 447.800 personas afectadas por un ERTE, casi 100.000 menos en comparación con el mes anterior. El mercado laboral, por tanto, muestra signos de recuperación gracias a la temporada estival. Sin embargo, tal y como se ha producido históricamente, las contrataciones </w:t>
      </w:r>
      <w:r w:rsidDel="00000000" w:rsidR="00000000" w:rsidRPr="00000000">
        <w:rPr>
          <w:rFonts w:ascii="Arial" w:cs="Arial" w:eastAsia="Arial" w:hAnsi="Arial"/>
          <w:sz w:val="20"/>
          <w:szCs w:val="20"/>
          <w:highlight w:val="white"/>
          <w:rtl w:val="0"/>
        </w:rPr>
        <w:t xml:space="preserve">de</w:t>
      </w:r>
      <w:r w:rsidDel="00000000" w:rsidR="00000000" w:rsidRPr="00000000">
        <w:rPr>
          <w:rFonts w:ascii="Arial" w:cs="Arial" w:eastAsia="Arial" w:hAnsi="Arial"/>
          <w:color w:val="000000"/>
          <w:sz w:val="20"/>
          <w:szCs w:val="20"/>
          <w:highlight w:val="white"/>
          <w:rtl w:val="0"/>
        </w:rPr>
        <w:t xml:space="preserve"> los últimos meses son temporales y responden al aumento de la demanda que llega con el verano; los sectores servicios, hostelería, restauración, etc. son un claro ejemplo de ello. </w:t>
      </w:r>
    </w:p>
    <w:p w:rsidR="00000000" w:rsidDel="00000000" w:rsidP="00000000" w:rsidRDefault="00000000" w:rsidRPr="00000000" w14:paraId="0000000B">
      <w:pPr>
        <w:spacing w:after="240" w:before="240"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En definitiva, los datos de afiliación registrados en el mes de junio son positivos -están situados en su franja histórica de máximos- y se acerca la fecha de entrega de los fondos europeos, por lo que la tendencia de creación de empleo se puede consolidar a medio plazo. No obstante, será clave durante las próximas semanas e incluso meses frenar el ligero aumento en la tasa de contagios provocada por la variante Delta de la Covid-19 (de las más contagiosas) y avanzar a buen ritmo con la campaña de vacunación.</w:t>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Arial" w:cs="Arial" w:eastAsia="Arial" w:hAnsi="Arial"/>
          <w:color w:val="0070c0"/>
          <w:sz w:val="22"/>
          <w:szCs w:val="22"/>
        </w:rPr>
      </w:pPr>
      <w:r w:rsidDel="00000000" w:rsidR="00000000" w:rsidRPr="00000000">
        <w:rPr>
          <w:rFonts w:ascii="Arial" w:cs="Arial" w:eastAsia="Arial" w:hAnsi="Arial"/>
          <w:color w:val="0070c0"/>
          <w:sz w:val="22"/>
          <w:szCs w:val="22"/>
          <w:rtl w:val="0"/>
        </w:rPr>
        <w:t xml:space="preserve">Comercial y ventas, Profesiones, artes y oficios, Compras, logística y almacén y Atención a clientes agrupan la mitad de las vacantes publicadas en la plataforma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6"/>
          <w:szCs w:val="6"/>
          <w:highlight w:val="white"/>
        </w:rPr>
      </w:pPr>
      <w:bookmarkStart w:colFirst="0" w:colLast="0" w:name="_heading=h.ofi2rgolju1l" w:id="0"/>
      <w:bookmarkEnd w:id="0"/>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Las categorías</w:t>
      </w:r>
      <w:r w:rsidDel="00000000" w:rsidR="00000000" w:rsidRPr="00000000">
        <w:rPr>
          <w:rFonts w:ascii="Arial" w:cs="Arial" w:eastAsia="Arial" w:hAnsi="Arial"/>
          <w:i w:val="1"/>
          <w:color w:val="000000"/>
          <w:sz w:val="20"/>
          <w:szCs w:val="20"/>
          <w:highlight w:val="white"/>
          <w:rtl w:val="0"/>
        </w:rPr>
        <w:t xml:space="preserve"> </w:t>
      </w:r>
      <w:r w:rsidDel="00000000" w:rsidR="00000000" w:rsidRPr="00000000">
        <w:rPr>
          <w:rFonts w:ascii="Arial" w:cs="Arial" w:eastAsia="Arial" w:hAnsi="Arial"/>
          <w:color w:val="000000"/>
          <w:sz w:val="20"/>
          <w:szCs w:val="20"/>
          <w:highlight w:val="white"/>
          <w:rtl w:val="0"/>
        </w:rPr>
        <w:t xml:space="preserve">Comercial y ventas, con el 22% del total, Profesiones, artes y oficios y Compras, logística y almacén (10%), además de Atención a clientes (9%), son las que más vacantes reúnen a través de InfoJobs en junio (51%).</w:t>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Si analizamos el bloque de las </w:t>
      </w:r>
      <w:r w:rsidDel="00000000" w:rsidR="00000000" w:rsidRPr="00000000">
        <w:rPr>
          <w:rFonts w:ascii="Arial" w:cs="Arial" w:eastAsia="Arial" w:hAnsi="Arial"/>
          <w:b w:val="1"/>
          <w:color w:val="000000"/>
          <w:sz w:val="20"/>
          <w:szCs w:val="20"/>
          <w:highlight w:val="white"/>
          <w:rtl w:val="0"/>
        </w:rPr>
        <w:t xml:space="preserve">categorías que más crecen</w:t>
      </w:r>
      <w:r w:rsidDel="00000000" w:rsidR="00000000" w:rsidRPr="00000000">
        <w:rPr>
          <w:rFonts w:ascii="Arial" w:cs="Arial" w:eastAsia="Arial" w:hAnsi="Arial"/>
          <w:color w:val="000000"/>
          <w:sz w:val="20"/>
          <w:szCs w:val="20"/>
          <w:highlight w:val="white"/>
          <w:rtl w:val="0"/>
        </w:rPr>
        <w:t xml:space="preserve"> este mes, </w:t>
      </w:r>
      <w:r w:rsidDel="00000000" w:rsidR="00000000" w:rsidRPr="00000000">
        <w:rPr>
          <w:rFonts w:ascii="Arial" w:cs="Arial" w:eastAsia="Arial" w:hAnsi="Arial"/>
          <w:b w:val="1"/>
          <w:color w:val="000000"/>
          <w:sz w:val="20"/>
          <w:szCs w:val="20"/>
          <w:highlight w:val="white"/>
          <w:rtl w:val="0"/>
        </w:rPr>
        <w:t xml:space="preserve">Educación y formación,</w:t>
      </w:r>
      <w:r w:rsidDel="00000000" w:rsidR="00000000" w:rsidRPr="00000000">
        <w:rPr>
          <w:rFonts w:ascii="Arial" w:cs="Arial" w:eastAsia="Arial" w:hAnsi="Arial"/>
          <w:color w:val="000000"/>
          <w:sz w:val="20"/>
          <w:szCs w:val="20"/>
          <w:highlight w:val="white"/>
          <w:rtl w:val="0"/>
        </w:rPr>
        <w:t xml:space="preserve"> con 7.568 vacantes, repunta un 70%; por otro lado, </w:t>
      </w:r>
      <w:r w:rsidDel="00000000" w:rsidR="00000000" w:rsidRPr="00000000">
        <w:rPr>
          <w:rFonts w:ascii="Arial" w:cs="Arial" w:eastAsia="Arial" w:hAnsi="Arial"/>
          <w:b w:val="1"/>
          <w:color w:val="000000"/>
          <w:sz w:val="20"/>
          <w:szCs w:val="20"/>
          <w:highlight w:val="white"/>
          <w:rtl w:val="0"/>
        </w:rPr>
        <w:t xml:space="preserve">Turismo y restauración</w:t>
      </w:r>
      <w:r w:rsidDel="00000000" w:rsidR="00000000" w:rsidRPr="00000000">
        <w:rPr>
          <w:rFonts w:ascii="Arial" w:cs="Arial" w:eastAsia="Arial" w:hAnsi="Arial"/>
          <w:color w:val="000000"/>
          <w:sz w:val="20"/>
          <w:szCs w:val="20"/>
          <w:highlight w:val="white"/>
          <w:rtl w:val="0"/>
        </w:rPr>
        <w:t xml:space="preserve">, con poco más de 11.100 vacantes, aumenta un 40%; y </w:t>
      </w:r>
      <w:r w:rsidDel="00000000" w:rsidR="00000000" w:rsidRPr="00000000">
        <w:rPr>
          <w:rFonts w:ascii="Arial" w:cs="Arial" w:eastAsia="Arial" w:hAnsi="Arial"/>
          <w:b w:val="1"/>
          <w:color w:val="000000"/>
          <w:sz w:val="20"/>
          <w:szCs w:val="20"/>
          <w:highlight w:val="white"/>
          <w:rtl w:val="0"/>
        </w:rPr>
        <w:t xml:space="preserve">Calidad, producción e I+D</w:t>
      </w:r>
      <w:r w:rsidDel="00000000" w:rsidR="00000000" w:rsidRPr="00000000">
        <w:rPr>
          <w:rFonts w:ascii="Arial" w:cs="Arial" w:eastAsia="Arial" w:hAnsi="Arial"/>
          <w:color w:val="000000"/>
          <w:sz w:val="20"/>
          <w:szCs w:val="20"/>
          <w:highlight w:val="white"/>
          <w:rtl w:val="0"/>
        </w:rPr>
        <w:t xml:space="preserve">, con 5.952 vacantes, crece un 22%. Finalmente, </w:t>
      </w:r>
      <w:r w:rsidDel="00000000" w:rsidR="00000000" w:rsidRPr="00000000">
        <w:rPr>
          <w:rFonts w:ascii="Arial" w:cs="Arial" w:eastAsia="Arial" w:hAnsi="Arial"/>
          <w:b w:val="1"/>
          <w:color w:val="000000"/>
          <w:sz w:val="20"/>
          <w:szCs w:val="20"/>
          <w:highlight w:val="white"/>
          <w:rtl w:val="0"/>
        </w:rPr>
        <w:t xml:space="preserve">Compras, logística y almacén</w:t>
      </w:r>
      <w:r w:rsidDel="00000000" w:rsidR="00000000" w:rsidRPr="00000000">
        <w:rPr>
          <w:rFonts w:ascii="Arial" w:cs="Arial" w:eastAsia="Arial" w:hAnsi="Arial"/>
          <w:color w:val="000000"/>
          <w:sz w:val="20"/>
          <w:szCs w:val="20"/>
          <w:highlight w:val="white"/>
          <w:rtl w:val="0"/>
        </w:rPr>
        <w:t xml:space="preserve"> sube un 14%, con 20.680 vacantes. </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En paralelo, </w:t>
      </w:r>
      <w:r w:rsidDel="00000000" w:rsidR="00000000" w:rsidRPr="00000000">
        <w:rPr>
          <w:rFonts w:ascii="Arial" w:cs="Arial" w:eastAsia="Arial" w:hAnsi="Arial"/>
          <w:b w:val="1"/>
          <w:color w:val="000000"/>
          <w:sz w:val="20"/>
          <w:szCs w:val="20"/>
          <w:highlight w:val="white"/>
          <w:rtl w:val="0"/>
        </w:rPr>
        <w:t xml:space="preserve">los sectores que se mantienen en volumen de vacantes</w:t>
      </w:r>
      <w:r w:rsidDel="00000000" w:rsidR="00000000" w:rsidRPr="00000000">
        <w:rPr>
          <w:rFonts w:ascii="Arial" w:cs="Arial" w:eastAsia="Arial" w:hAnsi="Arial"/>
          <w:color w:val="000000"/>
          <w:sz w:val="20"/>
          <w:szCs w:val="20"/>
          <w:highlight w:val="white"/>
          <w:rtl w:val="0"/>
        </w:rPr>
        <w:t xml:space="preserve"> son </w:t>
      </w:r>
      <w:r w:rsidDel="00000000" w:rsidR="00000000" w:rsidRPr="00000000">
        <w:rPr>
          <w:rFonts w:ascii="Arial" w:cs="Arial" w:eastAsia="Arial" w:hAnsi="Arial"/>
          <w:b w:val="1"/>
          <w:color w:val="000000"/>
          <w:sz w:val="20"/>
          <w:szCs w:val="20"/>
          <w:highlight w:val="white"/>
          <w:rtl w:val="0"/>
        </w:rPr>
        <w:t xml:space="preserve">Ingenieros y técnicos</w:t>
      </w:r>
      <w:r w:rsidDel="00000000" w:rsidR="00000000" w:rsidRPr="00000000">
        <w:rPr>
          <w:rFonts w:ascii="Arial" w:cs="Arial" w:eastAsia="Arial" w:hAnsi="Arial"/>
          <w:color w:val="000000"/>
          <w:sz w:val="20"/>
          <w:szCs w:val="20"/>
          <w:highlight w:val="white"/>
          <w:rtl w:val="0"/>
        </w:rPr>
        <w:t xml:space="preserve"> que, con 8.161 vacantes, crece ligeramente (poco más de un 5%), e </w:t>
      </w:r>
      <w:r w:rsidDel="00000000" w:rsidR="00000000" w:rsidRPr="00000000">
        <w:rPr>
          <w:rFonts w:ascii="Arial" w:cs="Arial" w:eastAsia="Arial" w:hAnsi="Arial"/>
          <w:b w:val="1"/>
          <w:color w:val="000000"/>
          <w:sz w:val="20"/>
          <w:szCs w:val="20"/>
          <w:highlight w:val="white"/>
          <w:rtl w:val="0"/>
        </w:rPr>
        <w:t xml:space="preserve">Informática y telecomunicaciones</w:t>
      </w:r>
      <w:r w:rsidDel="00000000" w:rsidR="00000000" w:rsidRPr="00000000">
        <w:rPr>
          <w:rFonts w:ascii="Arial" w:cs="Arial" w:eastAsia="Arial" w:hAnsi="Arial"/>
          <w:color w:val="000000"/>
          <w:sz w:val="20"/>
          <w:szCs w:val="20"/>
          <w:highlight w:val="white"/>
          <w:rtl w:val="0"/>
        </w:rPr>
        <w:t xml:space="preserve"> que ha generado 17.830 vacantes, registrando un pequeño incremento del 5%. </w:t>
      </w:r>
    </w:p>
    <w:p w:rsidR="00000000" w:rsidDel="00000000" w:rsidP="00000000" w:rsidRDefault="00000000" w:rsidRPr="00000000" w14:paraId="00000013">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highlight w:val="whit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color w:val="000000"/>
          <w:sz w:val="20"/>
          <w:szCs w:val="20"/>
          <w:highlight w:val="white"/>
          <w:rtl w:val="0"/>
        </w:rPr>
        <w:t xml:space="preserve">Por otro lado, las </w:t>
      </w:r>
      <w:r w:rsidDel="00000000" w:rsidR="00000000" w:rsidRPr="00000000">
        <w:rPr>
          <w:rFonts w:ascii="Arial" w:cs="Arial" w:eastAsia="Arial" w:hAnsi="Arial"/>
          <w:b w:val="1"/>
          <w:color w:val="000000"/>
          <w:sz w:val="20"/>
          <w:szCs w:val="20"/>
          <w:highlight w:val="white"/>
          <w:rtl w:val="0"/>
        </w:rPr>
        <w:t xml:space="preserve">categorías profesionales que peor se han comportado</w:t>
      </w:r>
      <w:r w:rsidDel="00000000" w:rsidR="00000000" w:rsidRPr="00000000">
        <w:rPr>
          <w:rFonts w:ascii="Arial" w:cs="Arial" w:eastAsia="Arial" w:hAnsi="Arial"/>
          <w:color w:val="000000"/>
          <w:sz w:val="20"/>
          <w:szCs w:val="20"/>
          <w:highlight w:val="white"/>
          <w:rtl w:val="0"/>
        </w:rPr>
        <w:t xml:space="preserve"> son </w:t>
      </w:r>
      <w:r w:rsidDel="00000000" w:rsidR="00000000" w:rsidRPr="00000000">
        <w:rPr>
          <w:rFonts w:ascii="Arial" w:cs="Arial" w:eastAsia="Arial" w:hAnsi="Arial"/>
          <w:b w:val="1"/>
          <w:color w:val="000000"/>
          <w:sz w:val="20"/>
          <w:szCs w:val="20"/>
          <w:highlight w:val="white"/>
          <w:rtl w:val="0"/>
        </w:rPr>
        <w:t xml:space="preserve">Administración Pública</w:t>
      </w:r>
      <w:r w:rsidDel="00000000" w:rsidR="00000000" w:rsidRPr="00000000">
        <w:rPr>
          <w:rFonts w:ascii="Arial" w:cs="Arial" w:eastAsia="Arial" w:hAnsi="Arial"/>
          <w:color w:val="000000"/>
          <w:sz w:val="20"/>
          <w:szCs w:val="20"/>
          <w:highlight w:val="white"/>
          <w:rtl w:val="0"/>
        </w:rPr>
        <w:t xml:space="preserve"> que desciende </w:t>
      </w:r>
      <w:r w:rsidDel="00000000" w:rsidR="00000000" w:rsidRPr="00000000">
        <w:rPr>
          <w:rFonts w:ascii="Arial" w:cs="Arial" w:eastAsia="Arial" w:hAnsi="Arial"/>
          <w:sz w:val="20"/>
          <w:szCs w:val="20"/>
          <w:highlight w:val="white"/>
          <w:rtl w:val="0"/>
        </w:rPr>
        <w:t xml:space="preserve">hasta las </w:t>
      </w:r>
      <w:r w:rsidDel="00000000" w:rsidR="00000000" w:rsidRPr="00000000">
        <w:rPr>
          <w:rFonts w:ascii="Arial" w:cs="Arial" w:eastAsia="Arial" w:hAnsi="Arial"/>
          <w:color w:val="000000"/>
          <w:sz w:val="20"/>
          <w:szCs w:val="20"/>
          <w:highlight w:val="white"/>
          <w:rtl w:val="0"/>
        </w:rPr>
        <w:t xml:space="preserve">671 vacantes (-37%), y </w:t>
      </w:r>
      <w:r w:rsidDel="00000000" w:rsidR="00000000" w:rsidRPr="00000000">
        <w:rPr>
          <w:rFonts w:ascii="Arial" w:cs="Arial" w:eastAsia="Arial" w:hAnsi="Arial"/>
          <w:b w:val="1"/>
          <w:color w:val="000000"/>
          <w:sz w:val="20"/>
          <w:szCs w:val="20"/>
          <w:highlight w:val="white"/>
          <w:rtl w:val="0"/>
        </w:rPr>
        <w:t xml:space="preserve">Finanzas y banca </w:t>
      </w:r>
      <w:r w:rsidDel="00000000" w:rsidR="00000000" w:rsidRPr="00000000">
        <w:rPr>
          <w:rFonts w:ascii="Arial" w:cs="Arial" w:eastAsia="Arial" w:hAnsi="Arial"/>
          <w:sz w:val="20"/>
          <w:szCs w:val="20"/>
          <w:highlight w:val="white"/>
          <w:rtl w:val="0"/>
        </w:rPr>
        <w:t xml:space="preserve">que </w:t>
      </w:r>
      <w:r w:rsidDel="00000000" w:rsidR="00000000" w:rsidRPr="00000000">
        <w:rPr>
          <w:rFonts w:ascii="Arial" w:cs="Arial" w:eastAsia="Arial" w:hAnsi="Arial"/>
          <w:color w:val="000000"/>
          <w:sz w:val="20"/>
          <w:szCs w:val="20"/>
          <w:highlight w:val="white"/>
          <w:rtl w:val="0"/>
        </w:rPr>
        <w:t xml:space="preserve">registra 2.553 vacantes en junio (-14%).  </w:t>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22"/>
          <w:szCs w:val="22"/>
          <w:highlight w:val="yellow"/>
        </w:rPr>
      </w:pPr>
      <w:r w:rsidDel="00000000" w:rsidR="00000000" w:rsidRPr="00000000">
        <w:rPr>
          <w:rFonts w:ascii="Arial" w:cs="Arial" w:eastAsia="Arial" w:hAnsi="Arial"/>
          <w:color w:val="3a7ab2"/>
          <w:sz w:val="22"/>
          <w:szCs w:val="22"/>
          <w:rtl w:val="0"/>
        </w:rPr>
        <w:t xml:space="preserve">#</w:t>
      </w:r>
      <w:r w:rsidDel="00000000" w:rsidR="00000000" w:rsidRPr="00000000">
        <w:rPr>
          <w:rFonts w:ascii="Arial" w:cs="Arial" w:eastAsia="Arial" w:hAnsi="Arial"/>
          <w:color w:val="3a7ab2"/>
          <w:sz w:val="22"/>
          <w:szCs w:val="22"/>
          <w:rtl w:val="0"/>
        </w:rPr>
        <w:t xml:space="preserve">LosProfesionalesMásDemandados</w:t>
      </w:r>
      <w:r w:rsidDel="00000000" w:rsidR="00000000" w:rsidRPr="00000000">
        <w:rPr>
          <w:rFonts w:ascii="Arial" w:cs="Arial" w:eastAsia="Arial" w:hAnsi="Arial"/>
          <w:color w:val="3a7ab2"/>
          <w:sz w:val="22"/>
          <w:szCs w:val="22"/>
          <w:rtl w:val="0"/>
        </w:rPr>
        <w:t xml:space="preserve"> en InfoJobs en junio </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Fonts w:ascii="Arial" w:cs="Arial" w:eastAsia="Arial" w:hAnsi="Arial"/>
          <w:color w:val="000000"/>
          <w:sz w:val="20"/>
          <w:szCs w:val="20"/>
          <w:rtl w:val="0"/>
        </w:rPr>
        <w:t xml:space="preserve">En este mes de junio, en el ranking de los puestos más demandados repiten el de teleoperador/a, representante comercial y conductor/a de vehículo de reparto. </w:t>
      </w:r>
      <w:r w:rsidDel="00000000" w:rsidR="00000000" w:rsidRPr="00000000">
        <w:rPr>
          <w:rFonts w:ascii="Arial" w:cs="Arial" w:eastAsia="Arial" w:hAnsi="Arial"/>
          <w:b w:val="1"/>
          <w:color w:val="000000"/>
          <w:sz w:val="20"/>
          <w:szCs w:val="20"/>
          <w:rtl w:val="0"/>
        </w:rPr>
        <w:t xml:space="preserve">Un mes más aparece el perfil </w:t>
      </w:r>
      <w:r w:rsidDel="00000000" w:rsidR="00000000" w:rsidRPr="00000000">
        <w:rPr>
          <w:rFonts w:ascii="Arial" w:cs="Arial" w:eastAsia="Arial" w:hAnsi="Arial"/>
          <w:color w:val="000000"/>
          <w:sz w:val="20"/>
          <w:szCs w:val="20"/>
          <w:rtl w:val="0"/>
        </w:rPr>
        <w:t xml:space="preserve">de </w:t>
      </w:r>
      <w:r w:rsidDel="00000000" w:rsidR="00000000" w:rsidRPr="00000000">
        <w:rPr>
          <w:rFonts w:ascii="Arial" w:cs="Arial" w:eastAsia="Arial" w:hAnsi="Arial"/>
          <w:b w:val="1"/>
          <w:color w:val="000000"/>
          <w:sz w:val="20"/>
          <w:szCs w:val="20"/>
          <w:rtl w:val="0"/>
        </w:rPr>
        <w:t xml:space="preserve">desarrollador de software, </w:t>
      </w:r>
      <w:r w:rsidDel="00000000" w:rsidR="00000000" w:rsidRPr="00000000">
        <w:rPr>
          <w:rFonts w:ascii="Arial" w:cs="Arial" w:eastAsia="Arial" w:hAnsi="Arial"/>
          <w:color w:val="000000"/>
          <w:sz w:val="20"/>
          <w:szCs w:val="20"/>
          <w:rtl w:val="0"/>
        </w:rPr>
        <w:t xml:space="preserve">que está claramente consolidado en la clasificación, ocupando el séptimo puesto del </w:t>
      </w:r>
      <w:r w:rsidDel="00000000" w:rsidR="00000000" w:rsidRPr="00000000">
        <w:rPr>
          <w:rFonts w:ascii="Arial" w:cs="Arial" w:eastAsia="Arial" w:hAnsi="Arial"/>
          <w:sz w:val="20"/>
          <w:szCs w:val="20"/>
          <w:rtl w:val="0"/>
        </w:rPr>
        <w:t xml:space="preserve">ranking</w:t>
      </w:r>
      <w:r w:rsidDel="00000000" w:rsidR="00000000" w:rsidRPr="00000000">
        <w:rPr>
          <w:rFonts w:ascii="Arial" w:cs="Arial" w:eastAsia="Arial" w:hAnsi="Arial"/>
          <w:color w:val="000000"/>
          <w:sz w:val="20"/>
          <w:szCs w:val="20"/>
          <w:rtl w:val="0"/>
        </w:rPr>
        <w:t xml:space="preserve"> debido al auge del sector TIC y la digitalización de las empresas.</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line="360" w:lineRule="auto"/>
        <w:jc w:val="both"/>
        <w:rPr>
          <w:rFonts w:ascii="Arial" w:cs="Arial" w:eastAsia="Arial" w:hAnsi="Arial"/>
          <w:b w:val="1"/>
          <w:color w:val="000000"/>
          <w:sz w:val="20"/>
          <w:szCs w:val="2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cuanto al promedio de candidatos inscritos por puesto de trabajo ofertados este mes de junio, ha sido de 4,9 lo que supone 0,9 puntos porcentuales menos en comparación con el mes de </w:t>
      </w:r>
      <w:r w:rsidDel="00000000" w:rsidR="00000000" w:rsidRPr="00000000">
        <w:rPr>
          <w:rFonts w:ascii="Arial" w:cs="Arial" w:eastAsia="Arial" w:hAnsi="Arial"/>
          <w:sz w:val="20"/>
          <w:szCs w:val="20"/>
          <w:rtl w:val="0"/>
        </w:rPr>
        <w:t xml:space="preserve">mayo </w:t>
      </w:r>
      <w:r w:rsidDel="00000000" w:rsidR="00000000" w:rsidRPr="00000000">
        <w:rPr>
          <w:rFonts w:ascii="Arial" w:cs="Arial" w:eastAsia="Arial" w:hAnsi="Arial"/>
          <w:color w:val="000000"/>
          <w:sz w:val="20"/>
          <w:szCs w:val="20"/>
          <w:rtl w:val="0"/>
        </w:rPr>
        <w:t xml:space="preserve">(5,8). Esto significa</w:t>
      </w:r>
      <w:r w:rsidDel="00000000" w:rsidR="00000000" w:rsidRPr="00000000">
        <w:rPr>
          <w:rFonts w:ascii="Arial" w:cs="Arial" w:eastAsia="Arial" w:hAnsi="Arial"/>
          <w:sz w:val="20"/>
          <w:szCs w:val="20"/>
          <w:rtl w:val="0"/>
        </w:rPr>
        <w:t xml:space="preserve"> que la competencia por puesto es menor que la recogida el mes anterior.</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tbl>
      <w:tblPr>
        <w:tblStyle w:val="Table1"/>
        <w:tblW w:w="5962.0" w:type="dxa"/>
        <w:jc w:val="center"/>
        <w:tblLayout w:type="fixed"/>
        <w:tblLook w:val="0400"/>
      </w:tblPr>
      <w:tblGrid>
        <w:gridCol w:w="5802"/>
        <w:gridCol w:w="160"/>
        <w:tblGridChange w:id="0">
          <w:tblGrid>
            <w:gridCol w:w="5802"/>
            <w:gridCol w:w="160"/>
          </w:tblGrid>
        </w:tblGridChange>
      </w:tblGrid>
      <w:tr>
        <w:trPr>
          <w:trHeight w:val="312" w:hRule="atLeast"/>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1B">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w:t>
            </w:r>
            <w:r w:rsidDel="00000000" w:rsidR="00000000" w:rsidRPr="00000000">
              <w:rPr>
                <w:rFonts w:ascii="Arial" w:cs="Arial" w:eastAsia="Arial" w:hAnsi="Arial"/>
                <w:b w:val="1"/>
                <w:color w:val="ffffff"/>
                <w:sz w:val="20"/>
                <w:szCs w:val="20"/>
                <w:rtl w:val="0"/>
              </w:rPr>
              <w:t xml:space="preserve">LosProfesionalesMásDemandados</w:t>
            </w:r>
            <w:r w:rsidDel="00000000" w:rsidR="00000000" w:rsidRPr="00000000">
              <w:rPr>
                <w:rFonts w:ascii="Arial" w:cs="Arial" w:eastAsia="Arial" w:hAnsi="Arial"/>
                <w:b w:val="1"/>
                <w:color w:val="ffffff"/>
                <w:sz w:val="20"/>
                <w:szCs w:val="20"/>
                <w:rtl w:val="0"/>
              </w:rPr>
              <w:t xml:space="preserve"> – junio 2021</w:t>
            </w:r>
          </w:p>
        </w:tc>
      </w:tr>
      <w:tr>
        <w:trPr>
          <w:trHeight w:val="324" w:hRule="atLeast"/>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1D">
            <w:pPr>
              <w:jc w:val="center"/>
              <w:rPr>
                <w:rFonts w:ascii="Arial" w:cs="Arial" w:eastAsia="Arial" w:hAnsi="Arial"/>
                <w:b w:val="1"/>
                <w:color w:val="ffffff"/>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Teleoperador/a </w:t>
            </w:r>
          </w:p>
        </w:tc>
        <w:tc>
          <w:tcPr>
            <w:vAlign w:val="center"/>
          </w:tcPr>
          <w:p w:rsidR="00000000" w:rsidDel="00000000" w:rsidP="00000000" w:rsidRDefault="00000000" w:rsidRPr="00000000" w14:paraId="0000001F">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Representante Comercial</w:t>
            </w:r>
          </w:p>
        </w:tc>
        <w:tc>
          <w:tcPr>
            <w:vAlign w:val="center"/>
          </w:tcPr>
          <w:p w:rsidR="00000000" w:rsidDel="00000000" w:rsidP="00000000" w:rsidRDefault="00000000" w:rsidRPr="00000000" w14:paraId="00000021">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Conductor/a Vehículo Reparto </w:t>
            </w:r>
          </w:p>
        </w:tc>
        <w:tc>
          <w:tcPr>
            <w:vAlign w:val="center"/>
          </w:tcPr>
          <w:p w:rsidR="00000000" w:rsidDel="00000000" w:rsidP="00000000" w:rsidRDefault="00000000" w:rsidRPr="00000000" w14:paraId="00000023">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Vendedor/a </w:t>
            </w:r>
          </w:p>
        </w:tc>
        <w:tc>
          <w:tcPr>
            <w:vAlign w:val="center"/>
          </w:tcPr>
          <w:p w:rsidR="00000000" w:rsidDel="00000000" w:rsidP="00000000" w:rsidRDefault="00000000" w:rsidRPr="00000000" w14:paraId="00000025">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Mozo/a Almacén </w:t>
            </w:r>
          </w:p>
        </w:tc>
        <w:tc>
          <w:tcPr>
            <w:vAlign w:val="center"/>
          </w:tcPr>
          <w:p w:rsidR="00000000" w:rsidDel="00000000" w:rsidP="00000000" w:rsidRDefault="00000000" w:rsidRPr="00000000" w14:paraId="00000027">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Agente Inmobiliario/a </w:t>
            </w:r>
          </w:p>
        </w:tc>
        <w:tc>
          <w:tcPr>
            <w:vAlign w:val="center"/>
          </w:tcPr>
          <w:p w:rsidR="00000000" w:rsidDel="00000000" w:rsidP="00000000" w:rsidRDefault="00000000" w:rsidRPr="00000000" w14:paraId="00000029">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Desarrollador/a Software</w:t>
            </w:r>
          </w:p>
        </w:tc>
        <w:tc>
          <w:tcPr>
            <w:vAlign w:val="center"/>
          </w:tcPr>
          <w:p w:rsidR="00000000" w:rsidDel="00000000" w:rsidP="00000000" w:rsidRDefault="00000000" w:rsidRPr="00000000" w14:paraId="0000002B">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Operador/</w:t>
            </w:r>
            <w:r w:rsidDel="00000000" w:rsidR="00000000" w:rsidRPr="00000000">
              <w:rPr>
                <w:rFonts w:ascii="Arial" w:cs="Arial" w:eastAsia="Arial" w:hAnsi="Arial"/>
                <w:sz w:val="20"/>
                <w:szCs w:val="20"/>
                <w:rtl w:val="0"/>
              </w:rPr>
              <w:t xml:space="preserve">de Carretilla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Elevadora </w:t>
            </w:r>
          </w:p>
        </w:tc>
        <w:tc>
          <w:tcPr>
            <w:vAlign w:val="center"/>
          </w:tcPr>
          <w:p w:rsidR="00000000" w:rsidDel="00000000" w:rsidP="00000000" w:rsidRDefault="00000000" w:rsidRPr="00000000" w14:paraId="0000002D">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Peón/a La Industria Manufacturera </w:t>
            </w:r>
          </w:p>
        </w:tc>
        <w:tc>
          <w:tcPr>
            <w:vAlign w:val="center"/>
          </w:tcPr>
          <w:p w:rsidR="00000000" w:rsidDel="00000000" w:rsidP="00000000" w:rsidRDefault="00000000" w:rsidRPr="00000000" w14:paraId="0000002F">
            <w:pPr>
              <w:rPr>
                <w:b w:val="1"/>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auto" w:val="clear"/>
            <w:vAlign w:val="bottom"/>
          </w:tcPr>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Camarero/a</w:t>
            </w:r>
          </w:p>
        </w:tc>
        <w:tc>
          <w:tcPr>
            <w:vAlign w:val="center"/>
          </w:tcPr>
          <w:p w:rsidR="00000000" w:rsidDel="00000000" w:rsidP="00000000" w:rsidRDefault="00000000" w:rsidRPr="00000000" w14:paraId="00000031">
            <w:pPr>
              <w:rPr>
                <w:b w:val="1"/>
                <w:sz w:val="20"/>
                <w:szCs w:val="20"/>
              </w:rPr>
            </w:pPr>
            <w:r w:rsidDel="00000000" w:rsidR="00000000" w:rsidRPr="00000000">
              <w:rPr>
                <w:rtl w:val="0"/>
              </w:rPr>
            </w:r>
          </w:p>
        </w:tc>
      </w:tr>
    </w:tbl>
    <w:p w:rsidR="00000000" w:rsidDel="00000000" w:rsidP="00000000" w:rsidRDefault="00000000" w:rsidRPr="00000000" w14:paraId="00000032">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yellow"/>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22"/>
          <w:szCs w:val="22"/>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line="360" w:lineRule="auto"/>
        <w:jc w:val="both"/>
        <w:rPr>
          <w:color w:val="000000"/>
        </w:rPr>
      </w:pPr>
      <w:r w:rsidDel="00000000" w:rsidR="00000000" w:rsidRPr="00000000">
        <w:rPr>
          <w:rFonts w:ascii="Arial" w:cs="Arial" w:eastAsia="Arial" w:hAnsi="Arial"/>
          <w:color w:val="3a7ab2"/>
          <w:sz w:val="22"/>
          <w:szCs w:val="22"/>
          <w:rtl w:val="0"/>
        </w:rPr>
        <w:t xml:space="preserve">El 40% de las vacantes ofrecían contrato de duración determinada y el 23% contrato indefinido</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Entre las vacantes registradas en InfoJobs, se publicaron un total de </w:t>
      </w:r>
      <w:r w:rsidDel="00000000" w:rsidR="00000000" w:rsidRPr="00000000">
        <w:rPr>
          <w:rFonts w:ascii="Arial" w:cs="Arial" w:eastAsia="Arial" w:hAnsi="Arial"/>
          <w:b w:val="1"/>
          <w:color w:val="000000"/>
          <w:sz w:val="20"/>
          <w:szCs w:val="20"/>
          <w:rtl w:val="0"/>
        </w:rPr>
        <w:t xml:space="preserve">84.243 puestos de trabajo que ofrecían contratación de duración determinada</w:t>
      </w:r>
      <w:r w:rsidDel="00000000" w:rsidR="00000000" w:rsidRPr="00000000">
        <w:rPr>
          <w:rFonts w:ascii="Arial" w:cs="Arial" w:eastAsia="Arial" w:hAnsi="Arial"/>
          <w:color w:val="000000"/>
          <w:sz w:val="20"/>
          <w:szCs w:val="20"/>
          <w:rtl w:val="0"/>
        </w:rPr>
        <w:t xml:space="preserve">, representando el </w:t>
      </w:r>
      <w:r w:rsidDel="00000000" w:rsidR="00000000" w:rsidRPr="00000000">
        <w:rPr>
          <w:rFonts w:ascii="Arial" w:cs="Arial" w:eastAsia="Arial" w:hAnsi="Arial"/>
          <w:b w:val="1"/>
          <w:color w:val="000000"/>
          <w:sz w:val="20"/>
          <w:szCs w:val="20"/>
          <w:rtl w:val="0"/>
        </w:rPr>
        <w:t xml:space="preserve">40% de las vacantes</w:t>
      </w:r>
      <w:r w:rsidDel="00000000" w:rsidR="00000000" w:rsidRPr="00000000">
        <w:rPr>
          <w:rFonts w:ascii="Arial" w:cs="Arial" w:eastAsia="Arial" w:hAnsi="Arial"/>
          <w:color w:val="000000"/>
          <w:sz w:val="20"/>
          <w:szCs w:val="20"/>
          <w:rtl w:val="0"/>
        </w:rPr>
        <w:t xml:space="preserve"> que informaban sobre la tipología de contrato. </w:t>
      </w:r>
      <w:r w:rsidDel="00000000" w:rsidR="00000000" w:rsidRPr="00000000">
        <w:rPr>
          <w:rFonts w:ascii="Arial" w:cs="Arial" w:eastAsia="Arial" w:hAnsi="Arial"/>
          <w:b w:val="1"/>
          <w:color w:val="000000"/>
          <w:sz w:val="20"/>
          <w:szCs w:val="20"/>
          <w:rtl w:val="0"/>
        </w:rPr>
        <w:t xml:space="preserve">Est</w:t>
      </w:r>
      <w:r w:rsidDel="00000000" w:rsidR="00000000" w:rsidRPr="00000000">
        <w:rPr>
          <w:rFonts w:ascii="Arial" w:cs="Arial" w:eastAsia="Arial" w:hAnsi="Arial"/>
          <w:b w:val="1"/>
          <w:sz w:val="20"/>
          <w:szCs w:val="20"/>
          <w:rtl w:val="0"/>
        </w:rPr>
        <w:t xml:space="preserve">a modalidad contractual</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ha incrementado un 17% </w:t>
      </w:r>
      <w:r w:rsidDel="00000000" w:rsidR="00000000" w:rsidRPr="00000000">
        <w:rPr>
          <w:rFonts w:ascii="Arial" w:cs="Arial" w:eastAsia="Arial" w:hAnsi="Arial"/>
          <w:sz w:val="20"/>
          <w:szCs w:val="20"/>
          <w:rtl w:val="0"/>
        </w:rPr>
        <w:t xml:space="preserve">respecto a mayo, cuando se registraron 71.939 vacantes</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color w:val="000000"/>
          <w:sz w:val="20"/>
          <w:szCs w:val="20"/>
          <w:rtl w:val="0"/>
        </w:rPr>
        <w:t xml:space="preserve">Por otro lado, </w:t>
      </w:r>
      <w:r w:rsidDel="00000000" w:rsidR="00000000" w:rsidRPr="00000000">
        <w:rPr>
          <w:rFonts w:ascii="Arial" w:cs="Arial" w:eastAsia="Arial" w:hAnsi="Arial"/>
          <w:sz w:val="20"/>
          <w:szCs w:val="20"/>
          <w:rtl w:val="0"/>
        </w:rPr>
        <w:t xml:space="preserve">los </w:t>
      </w:r>
      <w:r w:rsidDel="00000000" w:rsidR="00000000" w:rsidRPr="00000000">
        <w:rPr>
          <w:rFonts w:ascii="Arial" w:cs="Arial" w:eastAsia="Arial" w:hAnsi="Arial"/>
          <w:color w:val="000000"/>
          <w:sz w:val="20"/>
          <w:szCs w:val="20"/>
          <w:rtl w:val="0"/>
        </w:rPr>
        <w:t xml:space="preserve">contratos de</w:t>
      </w:r>
      <w:r w:rsidDel="00000000" w:rsidR="00000000" w:rsidRPr="00000000">
        <w:rPr>
          <w:rFonts w:ascii="Arial" w:cs="Arial" w:eastAsia="Arial" w:hAnsi="Arial"/>
          <w:b w:val="1"/>
          <w:color w:val="000000"/>
          <w:sz w:val="20"/>
          <w:szCs w:val="20"/>
          <w:rtl w:val="0"/>
        </w:rPr>
        <w:t xml:space="preserve"> duración indefinida -48.172 vacantes-</w:t>
      </w:r>
      <w:r w:rsidDel="00000000" w:rsidR="00000000" w:rsidRPr="00000000">
        <w:rPr>
          <w:rFonts w:ascii="Arial" w:cs="Arial" w:eastAsia="Arial" w:hAnsi="Arial"/>
          <w:color w:val="000000"/>
          <w:sz w:val="20"/>
          <w:szCs w:val="20"/>
          <w:rtl w:val="0"/>
        </w:rPr>
        <w:t xml:space="preserve">, representaban</w:t>
      </w:r>
      <w:r w:rsidDel="00000000" w:rsidR="00000000" w:rsidRPr="00000000">
        <w:rPr>
          <w:rtl w:val="0"/>
        </w:rPr>
        <w:t xml:space="preserve"> </w:t>
      </w:r>
      <w:r w:rsidDel="00000000" w:rsidR="00000000" w:rsidRPr="00000000">
        <w:rPr>
          <w:rFonts w:ascii="Arial" w:cs="Arial" w:eastAsia="Arial" w:hAnsi="Arial"/>
          <w:color w:val="000000"/>
          <w:sz w:val="20"/>
          <w:szCs w:val="20"/>
          <w:rtl w:val="0"/>
        </w:rPr>
        <w:t xml:space="preserve">el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3</w:t>
      </w:r>
      <w:r w:rsidDel="00000000" w:rsidR="00000000" w:rsidRPr="00000000">
        <w:rPr>
          <w:rFonts w:ascii="Arial" w:cs="Arial" w:eastAsia="Arial" w:hAnsi="Arial"/>
          <w:b w:val="1"/>
          <w:color w:val="000000"/>
          <w:sz w:val="20"/>
          <w:szCs w:val="20"/>
          <w:rtl w:val="0"/>
        </w:rPr>
        <w:t xml:space="preserve">% del total </w:t>
      </w:r>
      <w:r w:rsidDel="00000000" w:rsidR="00000000" w:rsidRPr="00000000">
        <w:rPr>
          <w:rFonts w:ascii="Arial" w:cs="Arial" w:eastAsia="Arial" w:hAnsi="Arial"/>
          <w:color w:val="000000"/>
          <w:sz w:val="20"/>
          <w:szCs w:val="20"/>
          <w:rtl w:val="0"/>
        </w:rPr>
        <w:t xml:space="preserve">en</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color w:val="000000"/>
          <w:sz w:val="20"/>
          <w:szCs w:val="20"/>
          <w:rtl w:val="0"/>
        </w:rPr>
        <w:t xml:space="preserve">la plataforma y </w:t>
      </w:r>
      <w:r w:rsidDel="00000000" w:rsidR="00000000" w:rsidRPr="00000000">
        <w:rPr>
          <w:rFonts w:ascii="Arial" w:cs="Arial" w:eastAsia="Arial" w:hAnsi="Arial"/>
          <w:b w:val="1"/>
          <w:color w:val="000000"/>
          <w:sz w:val="20"/>
          <w:szCs w:val="20"/>
          <w:rtl w:val="0"/>
        </w:rPr>
        <w:t xml:space="preserve">han crecid</w:t>
      </w:r>
      <w:r w:rsidDel="00000000" w:rsidR="00000000" w:rsidRPr="00000000">
        <w:rPr>
          <w:rFonts w:ascii="Arial" w:cs="Arial" w:eastAsia="Arial" w:hAnsi="Arial"/>
          <w:b w:val="1"/>
          <w:sz w:val="20"/>
          <w:szCs w:val="20"/>
          <w:rtl w:val="0"/>
        </w:rPr>
        <w:t xml:space="preserve">o un 10%</w:t>
      </w:r>
      <w:r w:rsidDel="00000000" w:rsidR="00000000" w:rsidRPr="00000000">
        <w:rPr>
          <w:rFonts w:ascii="Arial" w:cs="Arial" w:eastAsia="Arial" w:hAnsi="Arial"/>
          <w:sz w:val="20"/>
          <w:szCs w:val="20"/>
          <w:rtl w:val="0"/>
        </w:rPr>
        <w:t xml:space="preserve"> en comparación con el mes anterior</w:t>
      </w:r>
      <w:r w:rsidDel="00000000" w:rsidR="00000000" w:rsidRPr="00000000">
        <w:rPr>
          <w:rFonts w:ascii="Arial" w:cs="Arial" w:eastAsia="Arial" w:hAnsi="Arial"/>
          <w:color w:val="000000"/>
          <w:sz w:val="20"/>
          <w:szCs w:val="20"/>
          <w:rtl w:val="0"/>
        </w:rPr>
        <w:t xml:space="preserve">. </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En </w:t>
      </w:r>
      <w:r w:rsidDel="00000000" w:rsidR="00000000" w:rsidRPr="00000000">
        <w:rPr>
          <w:rFonts w:ascii="Arial" w:cs="Arial" w:eastAsia="Arial" w:hAnsi="Arial"/>
          <w:sz w:val="20"/>
          <w:szCs w:val="20"/>
          <w:rtl w:val="0"/>
        </w:rPr>
        <w:t xml:space="preserve">junio</w:t>
      </w:r>
      <w:r w:rsidDel="00000000" w:rsidR="00000000" w:rsidRPr="00000000">
        <w:rPr>
          <w:rFonts w:ascii="Arial" w:cs="Arial" w:eastAsia="Arial" w:hAnsi="Arial"/>
          <w:color w:val="000000"/>
          <w:sz w:val="20"/>
          <w:szCs w:val="20"/>
          <w:rtl w:val="0"/>
        </w:rPr>
        <w:t xml:space="preserve">, en lo que respecta al </w:t>
      </w:r>
      <w:r w:rsidDel="00000000" w:rsidR="00000000" w:rsidRPr="00000000">
        <w:rPr>
          <w:rFonts w:ascii="Arial" w:cs="Arial" w:eastAsia="Arial" w:hAnsi="Arial"/>
          <w:b w:val="1"/>
          <w:color w:val="000000"/>
          <w:sz w:val="20"/>
          <w:szCs w:val="20"/>
          <w:rtl w:val="0"/>
        </w:rPr>
        <w:t xml:space="preserve">tipo de jornada a realizar</w:t>
      </w:r>
      <w:r w:rsidDel="00000000" w:rsidR="00000000" w:rsidRPr="00000000">
        <w:rPr>
          <w:rFonts w:ascii="Arial" w:cs="Arial" w:eastAsia="Arial" w:hAnsi="Arial"/>
          <w:color w:val="000000"/>
          <w:sz w:val="20"/>
          <w:szCs w:val="20"/>
          <w:rtl w:val="0"/>
        </w:rPr>
        <w:t xml:space="preserve">, predominaron las vacantes que ofrecían </w:t>
      </w:r>
      <w:r w:rsidDel="00000000" w:rsidR="00000000" w:rsidRPr="00000000">
        <w:rPr>
          <w:rFonts w:ascii="Arial" w:cs="Arial" w:eastAsia="Arial" w:hAnsi="Arial"/>
          <w:b w:val="1"/>
          <w:color w:val="000000"/>
          <w:sz w:val="20"/>
          <w:szCs w:val="20"/>
          <w:rtl w:val="0"/>
        </w:rPr>
        <w:t xml:space="preserve">jornada a tiempo completo</w:t>
      </w:r>
      <w:r w:rsidDel="00000000" w:rsidR="00000000" w:rsidRPr="00000000">
        <w:rPr>
          <w:rFonts w:ascii="Arial" w:cs="Arial" w:eastAsia="Arial" w:hAnsi="Arial"/>
          <w:color w:val="000000"/>
          <w:sz w:val="20"/>
          <w:szCs w:val="20"/>
          <w:rtl w:val="0"/>
        </w:rPr>
        <w:t xml:space="preserve">, representando el </w:t>
      </w:r>
      <w:r w:rsidDel="00000000" w:rsidR="00000000" w:rsidRPr="00000000">
        <w:rPr>
          <w:rFonts w:ascii="Arial" w:cs="Arial" w:eastAsia="Arial" w:hAnsi="Arial"/>
          <w:b w:val="1"/>
          <w:color w:val="000000"/>
          <w:sz w:val="20"/>
          <w:szCs w:val="20"/>
          <w:rtl w:val="0"/>
        </w:rPr>
        <w:t xml:space="preserve">58% del total</w:t>
      </w:r>
      <w:r w:rsidDel="00000000" w:rsidR="00000000" w:rsidRPr="00000000">
        <w:rPr>
          <w:rFonts w:ascii="Arial" w:cs="Arial" w:eastAsia="Arial" w:hAnsi="Arial"/>
          <w:color w:val="000000"/>
          <w:sz w:val="20"/>
          <w:szCs w:val="20"/>
          <w:rtl w:val="0"/>
        </w:rPr>
        <w:t xml:space="preserve">. El </w:t>
      </w:r>
      <w:r w:rsidDel="00000000" w:rsidR="00000000" w:rsidRPr="00000000">
        <w:rPr>
          <w:rFonts w:ascii="Arial" w:cs="Arial" w:eastAsia="Arial" w:hAnsi="Arial"/>
          <w:b w:val="1"/>
          <w:color w:val="000000"/>
          <w:sz w:val="20"/>
          <w:szCs w:val="20"/>
          <w:rtl w:val="0"/>
        </w:rPr>
        <w:t xml:space="preserve">20% </w:t>
      </w:r>
      <w:r w:rsidDel="00000000" w:rsidR="00000000" w:rsidRPr="00000000">
        <w:rPr>
          <w:rFonts w:ascii="Arial" w:cs="Arial" w:eastAsia="Arial" w:hAnsi="Arial"/>
          <w:color w:val="000000"/>
          <w:sz w:val="20"/>
          <w:szCs w:val="20"/>
          <w:rtl w:val="0"/>
        </w:rPr>
        <w:t xml:space="preserve">de los puestos de trabajo ofrecían </w:t>
      </w:r>
      <w:r w:rsidDel="00000000" w:rsidR="00000000" w:rsidRPr="00000000">
        <w:rPr>
          <w:rFonts w:ascii="Arial" w:cs="Arial" w:eastAsia="Arial" w:hAnsi="Arial"/>
          <w:b w:val="1"/>
          <w:color w:val="000000"/>
          <w:sz w:val="20"/>
          <w:szCs w:val="20"/>
          <w:rtl w:val="0"/>
        </w:rPr>
        <w:t xml:space="preserve">jornada parcial</w:t>
      </w:r>
      <w:r w:rsidDel="00000000" w:rsidR="00000000" w:rsidRPr="00000000">
        <w:rPr>
          <w:rFonts w:ascii="Arial" w:cs="Arial" w:eastAsia="Arial" w:hAnsi="Arial"/>
          <w:color w:val="000000"/>
          <w:sz w:val="20"/>
          <w:szCs w:val="20"/>
          <w:rtl w:val="0"/>
        </w:rPr>
        <w:t xml:space="preserve">. </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39">
      <w:pPr>
        <w:jc w:val="both"/>
        <w:rPr>
          <w:rFonts w:ascii="Arial" w:cs="Arial" w:eastAsia="Arial" w:hAnsi="Arial"/>
          <w:color w:val="3a7ab2"/>
          <w:sz w:val="22"/>
          <w:szCs w:val="22"/>
        </w:rPr>
      </w:pPr>
      <w:r w:rsidDel="00000000" w:rsidR="00000000" w:rsidRPr="00000000">
        <w:rPr>
          <w:rFonts w:ascii="Arial" w:cs="Arial" w:eastAsia="Arial" w:hAnsi="Arial"/>
          <w:color w:val="3a7ab2"/>
          <w:sz w:val="22"/>
          <w:szCs w:val="22"/>
          <w:rtl w:val="0"/>
        </w:rPr>
        <w:t xml:space="preserve">Madrid, Cataluña, Andalucía y Comunidad Valenciana concentran el 67% de los empleos en España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line="360" w:lineRule="auto"/>
        <w:jc w:val="both"/>
        <w:rPr>
          <w:rFonts w:ascii="Arial" w:cs="Arial" w:eastAsia="Arial" w:hAnsi="Arial"/>
          <w:color w:val="3a7ab2"/>
          <w:sz w:val="10"/>
          <w:szCs w:val="10"/>
        </w:rPr>
      </w:pPr>
      <w:r w:rsidDel="00000000" w:rsidR="00000000" w:rsidRPr="00000000">
        <w:rPr>
          <w:rtl w:val="0"/>
        </w:rPr>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white"/>
          <w:rtl w:val="0"/>
        </w:rPr>
        <w:t xml:space="preserve">Las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que más empleo han generado en junio son </w:t>
      </w:r>
      <w:r w:rsidDel="00000000" w:rsidR="00000000" w:rsidRPr="00000000">
        <w:rPr>
          <w:rFonts w:ascii="Arial" w:cs="Arial" w:eastAsia="Arial" w:hAnsi="Arial"/>
          <w:b w:val="1"/>
          <w:color w:val="000000"/>
          <w:sz w:val="20"/>
          <w:szCs w:val="20"/>
          <w:highlight w:val="white"/>
          <w:rtl w:val="0"/>
        </w:rPr>
        <w:t xml:space="preserve">Madrid, </w:t>
      </w:r>
      <w:r w:rsidDel="00000000" w:rsidR="00000000" w:rsidRPr="00000000">
        <w:rPr>
          <w:rFonts w:ascii="Arial" w:cs="Arial" w:eastAsia="Arial" w:hAnsi="Arial"/>
          <w:color w:val="000000"/>
          <w:sz w:val="20"/>
          <w:szCs w:val="20"/>
          <w:highlight w:val="white"/>
          <w:rtl w:val="0"/>
        </w:rPr>
        <w:t xml:space="preserve">concentrando el </w:t>
      </w:r>
      <w:r w:rsidDel="00000000" w:rsidR="00000000" w:rsidRPr="00000000">
        <w:rPr>
          <w:rFonts w:ascii="Arial" w:cs="Arial" w:eastAsia="Arial" w:hAnsi="Arial"/>
          <w:b w:val="1"/>
          <w:color w:val="000000"/>
          <w:sz w:val="20"/>
          <w:szCs w:val="20"/>
          <w:rtl w:val="0"/>
        </w:rPr>
        <w:t xml:space="preserve">2</w:t>
      </w:r>
      <w:r w:rsidDel="00000000" w:rsidR="00000000" w:rsidRPr="00000000">
        <w:rPr>
          <w:rFonts w:ascii="Arial" w:cs="Arial" w:eastAsia="Arial" w:hAnsi="Arial"/>
          <w:b w:val="1"/>
          <w:sz w:val="20"/>
          <w:szCs w:val="20"/>
          <w:rtl w:val="0"/>
        </w:rPr>
        <w:t xml:space="preserve">5</w:t>
      </w:r>
      <w:r w:rsidDel="00000000" w:rsidR="00000000" w:rsidRPr="00000000">
        <w:rPr>
          <w:rFonts w:ascii="Arial" w:cs="Arial" w:eastAsia="Arial" w:hAnsi="Arial"/>
          <w:b w:val="1"/>
          <w:color w:val="000000"/>
          <w:sz w:val="20"/>
          <w:szCs w:val="20"/>
          <w:rtl w:val="0"/>
        </w:rPr>
        <w:t xml:space="preserve">% </w:t>
      </w:r>
      <w:r w:rsidDel="00000000" w:rsidR="00000000" w:rsidRPr="00000000">
        <w:rPr>
          <w:rFonts w:ascii="Arial" w:cs="Arial" w:eastAsia="Arial" w:hAnsi="Arial"/>
          <w:b w:val="1"/>
          <w:color w:val="000000"/>
          <w:sz w:val="20"/>
          <w:szCs w:val="20"/>
          <w:highlight w:val="white"/>
          <w:rtl w:val="0"/>
        </w:rPr>
        <w:t xml:space="preserve">del total de vacantes, </w:t>
      </w:r>
      <w:r w:rsidDel="00000000" w:rsidR="00000000" w:rsidRPr="00000000">
        <w:rPr>
          <w:rFonts w:ascii="Arial" w:cs="Arial" w:eastAsia="Arial" w:hAnsi="Arial"/>
          <w:sz w:val="20"/>
          <w:szCs w:val="20"/>
          <w:highlight w:val="white"/>
          <w:rtl w:val="0"/>
        </w:rPr>
        <w:t xml:space="preserve">seguida de</w:t>
      </w:r>
      <w:r w:rsidDel="00000000" w:rsidR="00000000" w:rsidRPr="00000000">
        <w:rPr>
          <w:rFonts w:ascii="Arial" w:cs="Arial" w:eastAsia="Arial" w:hAnsi="Arial"/>
          <w:b w:val="1"/>
          <w:sz w:val="20"/>
          <w:szCs w:val="20"/>
          <w:highlight w:val="white"/>
          <w:rtl w:val="0"/>
        </w:rPr>
        <w:t xml:space="preserve"> Cataluña, que representa el </w:t>
      </w:r>
      <w:r w:rsidDel="00000000" w:rsidR="00000000" w:rsidRPr="00000000">
        <w:rPr>
          <w:rFonts w:ascii="Arial" w:cs="Arial" w:eastAsia="Arial" w:hAnsi="Arial"/>
          <w:b w:val="1"/>
          <w:sz w:val="20"/>
          <w:szCs w:val="20"/>
          <w:rtl w:val="0"/>
        </w:rPr>
        <w:t xml:space="preserve">22% del total</w:t>
      </w:r>
      <w:r w:rsidDel="00000000" w:rsidR="00000000" w:rsidRPr="00000000">
        <w:rPr>
          <w:rFonts w:ascii="Arial" w:cs="Arial" w:eastAsia="Arial" w:hAnsi="Arial"/>
          <w:b w:val="1"/>
          <w:sz w:val="20"/>
          <w:szCs w:val="20"/>
          <w:highlight w:val="white"/>
          <w:rtl w:val="0"/>
        </w:rPr>
        <w:t xml:space="preserve">, Andalucía </w:t>
      </w:r>
      <w:r w:rsidDel="00000000" w:rsidR="00000000" w:rsidRPr="00000000">
        <w:rPr>
          <w:rFonts w:ascii="Arial" w:cs="Arial" w:eastAsia="Arial" w:hAnsi="Arial"/>
          <w:b w:val="1"/>
          <w:sz w:val="20"/>
          <w:szCs w:val="20"/>
          <w:rtl w:val="0"/>
        </w:rPr>
        <w:t xml:space="preserve">(11%) y Comunidad Valencia (9%)</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color w:val="000000"/>
          <w:sz w:val="20"/>
          <w:szCs w:val="20"/>
          <w:highlight w:val="white"/>
          <w:rtl w:val="0"/>
        </w:rPr>
        <w:t xml:space="preserve">En concreto, InfoJobs recogía un total de </w:t>
      </w:r>
      <w:r w:rsidDel="00000000" w:rsidR="00000000" w:rsidRPr="00000000">
        <w:rPr>
          <w:rFonts w:ascii="Arial" w:cs="Arial" w:eastAsia="Arial" w:hAnsi="Arial"/>
          <w:b w:val="1"/>
          <w:color w:val="000000"/>
          <w:sz w:val="20"/>
          <w:szCs w:val="20"/>
          <w:highlight w:val="white"/>
          <w:rtl w:val="0"/>
        </w:rPr>
        <w:t xml:space="preserve">53.858 vacantes</w:t>
      </w:r>
      <w:r w:rsidDel="00000000" w:rsidR="00000000" w:rsidRPr="00000000">
        <w:rPr>
          <w:rFonts w:ascii="Arial" w:cs="Arial" w:eastAsia="Arial" w:hAnsi="Arial"/>
          <w:color w:val="000000"/>
          <w:sz w:val="20"/>
          <w:szCs w:val="20"/>
          <w:highlight w:val="white"/>
          <w:rtl w:val="0"/>
        </w:rPr>
        <w:t xml:space="preserve"> para trabajar en la </w:t>
      </w:r>
      <w:r w:rsidDel="00000000" w:rsidR="00000000" w:rsidRPr="00000000">
        <w:rPr>
          <w:rFonts w:ascii="Arial" w:cs="Arial" w:eastAsia="Arial" w:hAnsi="Arial"/>
          <w:b w:val="1"/>
          <w:color w:val="000000"/>
          <w:sz w:val="20"/>
          <w:szCs w:val="20"/>
          <w:highlight w:val="white"/>
          <w:rtl w:val="0"/>
        </w:rPr>
        <w:t xml:space="preserve">Comunidad de Madrid</w:t>
      </w:r>
      <w:r w:rsidDel="00000000" w:rsidR="00000000" w:rsidRPr="00000000">
        <w:rPr>
          <w:rFonts w:ascii="Arial" w:cs="Arial" w:eastAsia="Arial" w:hAnsi="Arial"/>
          <w:color w:val="000000"/>
          <w:sz w:val="20"/>
          <w:szCs w:val="20"/>
          <w:highlight w:val="white"/>
          <w:rtl w:val="0"/>
        </w:rPr>
        <w:t xml:space="preserve">,</w:t>
      </w:r>
      <w:r w:rsidDel="00000000" w:rsidR="00000000" w:rsidRPr="00000000">
        <w:rPr>
          <w:rFonts w:ascii="Arial" w:cs="Arial" w:eastAsia="Arial" w:hAnsi="Arial"/>
          <w:color w:val="000000"/>
          <w:sz w:val="20"/>
          <w:szCs w:val="20"/>
          <w:rtl w:val="0"/>
        </w:rPr>
        <w:t xml:space="preserve"> que </w:t>
      </w:r>
      <w:r w:rsidDel="00000000" w:rsidR="00000000" w:rsidRPr="00000000">
        <w:rPr>
          <w:rFonts w:ascii="Arial" w:cs="Arial" w:eastAsia="Arial" w:hAnsi="Arial"/>
          <w:b w:val="1"/>
          <w:color w:val="000000"/>
          <w:sz w:val="20"/>
          <w:szCs w:val="20"/>
          <w:rtl w:val="0"/>
        </w:rPr>
        <w:t xml:space="preserve">ha crecido un 15%</w:t>
      </w:r>
      <w:r w:rsidDel="00000000" w:rsidR="00000000" w:rsidRPr="00000000">
        <w:rPr>
          <w:rFonts w:ascii="Arial" w:cs="Arial" w:eastAsia="Arial" w:hAnsi="Arial"/>
          <w:color w:val="000000"/>
          <w:sz w:val="20"/>
          <w:szCs w:val="20"/>
          <w:rtl w:val="0"/>
        </w:rPr>
        <w:t xml:space="preserve"> respecto al mes anterior. Por su parte </w:t>
      </w:r>
      <w:r w:rsidDel="00000000" w:rsidR="00000000" w:rsidRPr="00000000">
        <w:rPr>
          <w:rFonts w:ascii="Arial" w:cs="Arial" w:eastAsia="Arial" w:hAnsi="Arial"/>
          <w:b w:val="1"/>
          <w:color w:val="000000"/>
          <w:sz w:val="20"/>
          <w:szCs w:val="20"/>
          <w:rtl w:val="0"/>
        </w:rPr>
        <w:t xml:space="preserve">Cataluña,</w:t>
      </w:r>
      <w:r w:rsidDel="00000000" w:rsidR="00000000" w:rsidRPr="00000000">
        <w:rPr>
          <w:rFonts w:ascii="Arial" w:cs="Arial" w:eastAsia="Arial" w:hAnsi="Arial"/>
          <w:color w:val="000000"/>
          <w:sz w:val="20"/>
          <w:szCs w:val="20"/>
          <w:rtl w:val="0"/>
        </w:rPr>
        <w:t xml:space="preserve"> que registra</w:t>
      </w:r>
      <w:r w:rsidDel="00000000" w:rsidR="00000000" w:rsidRPr="00000000">
        <w:rPr>
          <w:rFonts w:ascii="Arial" w:cs="Arial" w:eastAsia="Arial" w:hAnsi="Arial"/>
          <w:b w:val="1"/>
          <w:color w:val="000000"/>
          <w:sz w:val="20"/>
          <w:szCs w:val="20"/>
          <w:rtl w:val="0"/>
        </w:rPr>
        <w:t xml:space="preserve"> 47.980</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b w:val="1"/>
          <w:color w:val="000000"/>
          <w:sz w:val="20"/>
          <w:szCs w:val="20"/>
          <w:rtl w:val="0"/>
        </w:rPr>
        <w:t xml:space="preserve">puestos vacantes,</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b w:val="1"/>
          <w:color w:val="000000"/>
          <w:sz w:val="20"/>
          <w:szCs w:val="20"/>
          <w:rtl w:val="0"/>
        </w:rPr>
        <w:t xml:space="preserve">ha subido un 20%</w:t>
      </w:r>
      <w:r w:rsidDel="00000000" w:rsidR="00000000" w:rsidRPr="00000000">
        <w:rPr>
          <w:rFonts w:ascii="Arial" w:cs="Arial" w:eastAsia="Arial" w:hAnsi="Arial"/>
          <w:b w:val="1"/>
          <w:color w:val="000000"/>
          <w:sz w:val="20"/>
          <w:szCs w:val="20"/>
          <w:highlight w:val="white"/>
          <w:rtl w:val="0"/>
        </w:rPr>
        <w:t xml:space="preserve">.</w:t>
      </w:r>
      <w:r w:rsidDel="00000000" w:rsidR="00000000" w:rsidRPr="00000000">
        <w:rPr>
          <w:rFonts w:ascii="Arial" w:cs="Arial" w:eastAsia="Arial" w:hAnsi="Arial"/>
          <w:color w:val="000000"/>
          <w:sz w:val="20"/>
          <w:szCs w:val="20"/>
          <w:highlight w:val="white"/>
          <w:rtl w:val="0"/>
        </w:rPr>
        <w:t xml:space="preserve"> A éstas les sigue </w:t>
      </w:r>
      <w:r w:rsidDel="00000000" w:rsidR="00000000" w:rsidRPr="00000000">
        <w:rPr>
          <w:rFonts w:ascii="Arial" w:cs="Arial" w:eastAsia="Arial" w:hAnsi="Arial"/>
          <w:b w:val="1"/>
          <w:sz w:val="20"/>
          <w:szCs w:val="20"/>
          <w:highlight w:val="white"/>
          <w:rtl w:val="0"/>
        </w:rPr>
        <w:t xml:space="preserve">Andalucía con 24.115, lo que supone un incremento del 17% y Valencia con 18.724 vacantes (-2%)</w:t>
      </w:r>
      <w:r w:rsidDel="00000000" w:rsidR="00000000" w:rsidRPr="00000000">
        <w:rPr>
          <w:rFonts w:ascii="Arial" w:cs="Arial" w:eastAsia="Arial" w:hAnsi="Arial"/>
          <w:sz w:val="20"/>
          <w:szCs w:val="20"/>
          <w:highlight w:val="white"/>
          <w:rtl w:val="0"/>
        </w:rPr>
        <w:t xml:space="preserve">. </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line="360" w:lineRule="auto"/>
        <w:jc w:val="both"/>
        <w:rPr>
          <w:rFonts w:ascii="Arial" w:cs="Arial" w:eastAsia="Arial" w:hAnsi="Arial"/>
          <w:b w:val="1"/>
          <w:sz w:val="20"/>
          <w:szCs w:val="20"/>
          <w:highlight w:val="white"/>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Fonts w:ascii="Arial" w:cs="Arial" w:eastAsia="Arial" w:hAnsi="Arial"/>
          <w:sz w:val="20"/>
          <w:szCs w:val="20"/>
          <w:highlight w:val="white"/>
          <w:rtl w:val="0"/>
        </w:rPr>
        <w:t xml:space="preserve">E</w:t>
      </w:r>
      <w:r w:rsidDel="00000000" w:rsidR="00000000" w:rsidRPr="00000000">
        <w:rPr>
          <w:rFonts w:ascii="Arial" w:cs="Arial" w:eastAsia="Arial" w:hAnsi="Arial"/>
          <w:color w:val="000000"/>
          <w:sz w:val="20"/>
          <w:szCs w:val="20"/>
          <w:highlight w:val="white"/>
          <w:rtl w:val="0"/>
        </w:rPr>
        <w:t xml:space="preserve">sta es la evolución de los puestos de trabajo publicados en InfoJobs con la totalidad de </w:t>
      </w:r>
      <w:r w:rsidDel="00000000" w:rsidR="00000000" w:rsidRPr="00000000">
        <w:rPr>
          <w:rFonts w:ascii="Arial" w:cs="Arial" w:eastAsia="Arial" w:hAnsi="Arial"/>
          <w:sz w:val="20"/>
          <w:szCs w:val="20"/>
          <w:highlight w:val="white"/>
          <w:rtl w:val="0"/>
        </w:rPr>
        <w:t xml:space="preserve">c</w:t>
      </w:r>
      <w:r w:rsidDel="00000000" w:rsidR="00000000" w:rsidRPr="00000000">
        <w:rPr>
          <w:rFonts w:ascii="Arial" w:cs="Arial" w:eastAsia="Arial" w:hAnsi="Arial"/>
          <w:color w:val="000000"/>
          <w:sz w:val="20"/>
          <w:szCs w:val="20"/>
          <w:highlight w:val="white"/>
          <w:rtl w:val="0"/>
        </w:rPr>
        <w:t xml:space="preserve">omunidades </w:t>
      </w:r>
      <w:r w:rsidDel="00000000" w:rsidR="00000000" w:rsidRPr="00000000">
        <w:rPr>
          <w:rFonts w:ascii="Arial" w:cs="Arial" w:eastAsia="Arial" w:hAnsi="Arial"/>
          <w:sz w:val="20"/>
          <w:szCs w:val="20"/>
          <w:highlight w:val="white"/>
          <w:rtl w:val="0"/>
        </w:rPr>
        <w:t xml:space="preserve">a</w:t>
      </w:r>
      <w:r w:rsidDel="00000000" w:rsidR="00000000" w:rsidRPr="00000000">
        <w:rPr>
          <w:rFonts w:ascii="Arial" w:cs="Arial" w:eastAsia="Arial" w:hAnsi="Arial"/>
          <w:color w:val="000000"/>
          <w:sz w:val="20"/>
          <w:szCs w:val="20"/>
          <w:highlight w:val="white"/>
          <w:rtl w:val="0"/>
        </w:rPr>
        <w:t xml:space="preserve">utónomas: </w:t>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highlight w:val="white"/>
        </w:rPr>
      </w:pPr>
      <w:r w:rsidDel="00000000" w:rsidR="00000000" w:rsidRPr="00000000">
        <w:rPr>
          <w:rtl w:val="0"/>
        </w:rPr>
      </w:r>
    </w:p>
    <w:tbl>
      <w:tblPr>
        <w:tblStyle w:val="Table2"/>
        <w:tblW w:w="9560.0" w:type="dxa"/>
        <w:jc w:val="left"/>
        <w:tblInd w:w="0.0" w:type="dxa"/>
        <w:tblLayout w:type="fixed"/>
        <w:tblLook w:val="0400"/>
      </w:tblPr>
      <w:tblGrid>
        <w:gridCol w:w="2617"/>
        <w:gridCol w:w="1393"/>
        <w:gridCol w:w="1488"/>
        <w:gridCol w:w="1222"/>
        <w:gridCol w:w="1456"/>
        <w:gridCol w:w="1238"/>
        <w:gridCol w:w="146"/>
        <w:tblGridChange w:id="0">
          <w:tblGrid>
            <w:gridCol w:w="2617"/>
            <w:gridCol w:w="1393"/>
            <w:gridCol w:w="1488"/>
            <w:gridCol w:w="1222"/>
            <w:gridCol w:w="1456"/>
            <w:gridCol w:w="1238"/>
            <w:gridCol w:w="146"/>
          </w:tblGrid>
        </w:tblGridChange>
      </w:tblGrid>
      <w:tr>
        <w:trPr>
          <w:trHeight w:val="312" w:hRule="atLeast"/>
        </w:trPr>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3F">
            <w:pP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Comunidad Autónoma</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0">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jun-20</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1">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may-21</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2">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jun-21</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3">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MoM</w:t>
            </w:r>
          </w:p>
        </w:tc>
        <w:tc>
          <w:tcPr>
            <w:vMerge w:val="restart"/>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4">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Diferencia YoY</w:t>
            </w:r>
          </w:p>
        </w:tc>
      </w:tr>
      <w:tr>
        <w:trPr>
          <w:trHeight w:val="324" w:hRule="atLeast"/>
        </w:trPr>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color w:val="ffffff"/>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vAlign w:val="bottom"/>
          </w:tcPr>
          <w:p w:rsidR="00000000" w:rsidDel="00000000" w:rsidP="00000000" w:rsidRDefault="00000000" w:rsidRPr="00000000" w14:paraId="0000004B">
            <w:pPr>
              <w:jc w:val="center"/>
              <w:rPr>
                <w:rFonts w:ascii="Arial" w:cs="Arial" w:eastAsia="Arial" w:hAnsi="Arial"/>
                <w:b w:val="1"/>
                <w:color w:val="ffffff"/>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Andalucía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11.425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20.530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4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24.115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17,46%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111,07%</w:t>
            </w:r>
          </w:p>
        </w:tc>
        <w:tc>
          <w:tcPr>
            <w:vAlign w:val="center"/>
          </w:tcPr>
          <w:p w:rsidR="00000000" w:rsidDel="00000000" w:rsidP="00000000" w:rsidRDefault="00000000" w:rsidRPr="00000000" w14:paraId="00000052">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Aragón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2.539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5.941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6.033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137,61%</w:t>
            </w:r>
          </w:p>
        </w:tc>
        <w:tc>
          <w:tcPr>
            <w:vAlign w:val="center"/>
          </w:tcPr>
          <w:p w:rsidR="00000000" w:rsidDel="00000000" w:rsidP="00000000" w:rsidRDefault="00000000" w:rsidRPr="00000000" w14:paraId="00000059">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5A">
            <w:pPr>
              <w:rPr>
                <w:rFonts w:ascii="Calibri" w:cs="Calibri" w:eastAsia="Calibri" w:hAnsi="Calibri"/>
              </w:rPr>
            </w:pPr>
            <w:r w:rsidDel="00000000" w:rsidR="00000000" w:rsidRPr="00000000">
              <w:rPr>
                <w:rFonts w:ascii="Calibri" w:cs="Calibri" w:eastAsia="Calibri" w:hAnsi="Calibri"/>
                <w:rtl w:val="0"/>
              </w:rPr>
              <w:t xml:space="preserve">Asturias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1.370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3.280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2.686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E">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-18,11%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5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96,06%</w:t>
            </w:r>
          </w:p>
        </w:tc>
        <w:tc>
          <w:tcPr>
            <w:vAlign w:val="center"/>
          </w:tcPr>
          <w:p w:rsidR="00000000" w:rsidDel="00000000" w:rsidP="00000000" w:rsidRDefault="00000000" w:rsidRPr="00000000" w14:paraId="00000060">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1">
            <w:pPr>
              <w:rPr>
                <w:rFonts w:ascii="Calibri" w:cs="Calibri" w:eastAsia="Calibri" w:hAnsi="Calibri"/>
              </w:rPr>
            </w:pPr>
            <w:r w:rsidDel="00000000" w:rsidR="00000000" w:rsidRPr="00000000">
              <w:rPr>
                <w:rFonts w:ascii="Calibri" w:cs="Calibri" w:eastAsia="Calibri" w:hAnsi="Calibri"/>
                <w:rtl w:val="0"/>
              </w:rPr>
              <w:t xml:space="preserve">Canarias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1.731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3.892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3.581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5">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-7,99%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106,87%</w:t>
            </w:r>
          </w:p>
        </w:tc>
        <w:tc>
          <w:tcPr>
            <w:vAlign w:val="center"/>
          </w:tcPr>
          <w:p w:rsidR="00000000" w:rsidDel="00000000" w:rsidP="00000000" w:rsidRDefault="00000000" w:rsidRPr="00000000" w14:paraId="00000067">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8">
            <w:pPr>
              <w:rPr>
                <w:rFonts w:ascii="Calibri" w:cs="Calibri" w:eastAsia="Calibri" w:hAnsi="Calibri"/>
              </w:rPr>
            </w:pPr>
            <w:r w:rsidDel="00000000" w:rsidR="00000000" w:rsidRPr="00000000">
              <w:rPr>
                <w:rFonts w:ascii="Calibri" w:cs="Calibri" w:eastAsia="Calibri" w:hAnsi="Calibri"/>
                <w:rtl w:val="0"/>
              </w:rPr>
              <w:t xml:space="preserve">Cantabria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2.245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2.473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10,16%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6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156,80%</w:t>
            </w:r>
          </w:p>
        </w:tc>
        <w:tc>
          <w:tcPr>
            <w:vAlign w:val="center"/>
          </w:tcPr>
          <w:p w:rsidR="00000000" w:rsidDel="00000000" w:rsidP="00000000" w:rsidRDefault="00000000" w:rsidRPr="00000000" w14:paraId="0000006E">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6F">
            <w:pPr>
              <w:rPr>
                <w:rFonts w:ascii="Calibri" w:cs="Calibri" w:eastAsia="Calibri" w:hAnsi="Calibri"/>
              </w:rPr>
            </w:pPr>
            <w:r w:rsidDel="00000000" w:rsidR="00000000" w:rsidRPr="00000000">
              <w:rPr>
                <w:rFonts w:ascii="Calibri" w:cs="Calibri" w:eastAsia="Calibri" w:hAnsi="Calibri"/>
                <w:rtl w:val="0"/>
              </w:rPr>
              <w:t xml:space="preserve">Castilla - La Mancha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3.823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7.391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8.941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20,97%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133,87%</w:t>
            </w:r>
          </w:p>
        </w:tc>
        <w:tc>
          <w:tcPr>
            <w:vAlign w:val="center"/>
          </w:tcPr>
          <w:p w:rsidR="00000000" w:rsidDel="00000000" w:rsidP="00000000" w:rsidRDefault="00000000" w:rsidRPr="00000000" w14:paraId="00000075">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76">
            <w:pPr>
              <w:rPr>
                <w:rFonts w:ascii="Calibri" w:cs="Calibri" w:eastAsia="Calibri" w:hAnsi="Calibri"/>
              </w:rPr>
            </w:pPr>
            <w:r w:rsidDel="00000000" w:rsidR="00000000" w:rsidRPr="00000000">
              <w:rPr>
                <w:rFonts w:ascii="Calibri" w:cs="Calibri" w:eastAsia="Calibri" w:hAnsi="Calibri"/>
                <w:rtl w:val="0"/>
              </w:rPr>
              <w:t xml:space="preserve">Castilla y León</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5.799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9.451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10.530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11,42%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81,58%</w:t>
            </w:r>
          </w:p>
        </w:tc>
        <w:tc>
          <w:tcPr>
            <w:vAlign w:val="center"/>
          </w:tcPr>
          <w:p w:rsidR="00000000" w:rsidDel="00000000" w:rsidP="00000000" w:rsidRDefault="00000000" w:rsidRPr="00000000" w14:paraId="0000007C">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Cataluña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23.185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7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39.896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47.980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20,26%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106,94%</w:t>
            </w:r>
          </w:p>
        </w:tc>
        <w:tc>
          <w:tcPr>
            <w:vAlign w:val="center"/>
          </w:tcPr>
          <w:p w:rsidR="00000000" w:rsidDel="00000000" w:rsidP="00000000" w:rsidRDefault="00000000" w:rsidRPr="00000000" w14:paraId="00000083">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Comunidad Valenciana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9.836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19.115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18.724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8">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-2,05%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90,36%</w:t>
            </w:r>
          </w:p>
        </w:tc>
        <w:tc>
          <w:tcPr>
            <w:vAlign w:val="center"/>
          </w:tcPr>
          <w:p w:rsidR="00000000" w:rsidDel="00000000" w:rsidP="00000000" w:rsidRDefault="00000000" w:rsidRPr="00000000" w14:paraId="0000008A">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8B">
            <w:pPr>
              <w:rPr>
                <w:rFonts w:ascii="Calibri" w:cs="Calibri" w:eastAsia="Calibri" w:hAnsi="Calibri"/>
              </w:rPr>
            </w:pPr>
            <w:r w:rsidDel="00000000" w:rsidR="00000000" w:rsidRPr="00000000">
              <w:rPr>
                <w:rFonts w:ascii="Calibri" w:cs="Calibri" w:eastAsia="Calibri" w:hAnsi="Calibri"/>
                <w:rtl w:val="0"/>
              </w:rPr>
              <w:t xml:space="preserve">Extremadura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1.447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2.425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3.336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8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37,57%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130,55%</w:t>
            </w:r>
          </w:p>
        </w:tc>
        <w:tc>
          <w:tcPr>
            <w:vAlign w:val="center"/>
          </w:tcPr>
          <w:p w:rsidR="00000000" w:rsidDel="00000000" w:rsidP="00000000" w:rsidRDefault="00000000" w:rsidRPr="00000000" w14:paraId="00000091">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2">
            <w:pPr>
              <w:rPr>
                <w:rFonts w:ascii="Calibri" w:cs="Calibri" w:eastAsia="Calibri" w:hAnsi="Calibri"/>
              </w:rPr>
            </w:pPr>
            <w:r w:rsidDel="00000000" w:rsidR="00000000" w:rsidRPr="00000000">
              <w:rPr>
                <w:rFonts w:ascii="Calibri" w:cs="Calibri" w:eastAsia="Calibri" w:hAnsi="Calibri"/>
                <w:rtl w:val="0"/>
              </w:rPr>
              <w:t xml:space="preserve">Galicia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5.503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9.248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10.789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96,06%</w:t>
            </w:r>
          </w:p>
        </w:tc>
        <w:tc>
          <w:tcPr>
            <w:vAlign w:val="center"/>
          </w:tcPr>
          <w:p w:rsidR="00000000" w:rsidDel="00000000" w:rsidP="00000000" w:rsidRDefault="00000000" w:rsidRPr="00000000" w14:paraId="00000098">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Illes Balears</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1.341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3.045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4.394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44,30%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9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227,67%</w:t>
            </w:r>
          </w:p>
        </w:tc>
        <w:tc>
          <w:tcPr>
            <w:vAlign w:val="center"/>
          </w:tcPr>
          <w:p w:rsidR="00000000" w:rsidDel="00000000" w:rsidP="00000000" w:rsidRDefault="00000000" w:rsidRPr="00000000" w14:paraId="0000009F">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La Rioja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621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1.188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4">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48,87%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5">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91,30%</w:t>
            </w:r>
          </w:p>
        </w:tc>
        <w:tc>
          <w:tcPr>
            <w:vAlign w:val="center"/>
          </w:tcPr>
          <w:p w:rsidR="00000000" w:rsidDel="00000000" w:rsidP="00000000" w:rsidRDefault="00000000" w:rsidRPr="00000000" w14:paraId="000000A6">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Madrid</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30.251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46.738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53.858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B">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15,23%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C">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78,04%</w:t>
            </w:r>
          </w:p>
        </w:tc>
        <w:tc>
          <w:tcPr>
            <w:vAlign w:val="center"/>
          </w:tcPr>
          <w:p w:rsidR="00000000" w:rsidDel="00000000" w:rsidP="00000000" w:rsidRDefault="00000000" w:rsidRPr="00000000" w14:paraId="000000AD">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Murcia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A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1.663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0">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4.003</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4.349</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2">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8,64%</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3">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161,52%</w:t>
            </w:r>
          </w:p>
        </w:tc>
        <w:tc>
          <w:tcPr>
            <w:vAlign w:val="center"/>
          </w:tcPr>
          <w:p w:rsidR="00000000" w:rsidDel="00000000" w:rsidP="00000000" w:rsidRDefault="00000000" w:rsidRPr="00000000" w14:paraId="000000B4">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Navarra</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6">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1.157</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7">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1.740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8">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2.082</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9">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19,66%</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A">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79,95%</w:t>
            </w:r>
          </w:p>
        </w:tc>
        <w:tc>
          <w:tcPr>
            <w:vAlign w:val="center"/>
          </w:tcPr>
          <w:p w:rsidR="00000000" w:rsidDel="00000000" w:rsidP="00000000" w:rsidRDefault="00000000" w:rsidRPr="00000000" w14:paraId="000000BB">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ffffff" w:val="clear"/>
            <w:vAlign w:val="center"/>
          </w:tcPr>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País Vasco / Euskadi</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D">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4.331</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E">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8.625</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BF">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8.420</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0">
            <w:pPr>
              <w:jc w:val="center"/>
              <w:rPr>
                <w:rFonts w:ascii="Calibri" w:cs="Calibri" w:eastAsia="Calibri" w:hAnsi="Calibri"/>
                <w:color w:val="ff0000"/>
                <w:sz w:val="22"/>
                <w:szCs w:val="22"/>
              </w:rPr>
            </w:pPr>
            <w:r w:rsidDel="00000000" w:rsidR="00000000" w:rsidRPr="00000000">
              <w:rPr>
                <w:rFonts w:ascii="Calibri" w:cs="Calibri" w:eastAsia="Calibri" w:hAnsi="Calibri"/>
                <w:color w:val="ff0000"/>
                <w:sz w:val="22"/>
                <w:szCs w:val="22"/>
                <w:rtl w:val="0"/>
              </w:rPr>
              <w:t xml:space="preserve">-2,38%</w:t>
            </w:r>
          </w:p>
        </w:tc>
        <w:tc>
          <w:tcPr>
            <w:tcBorders>
              <w:top w:color="000000" w:space="0" w:sz="0" w:val="nil"/>
              <w:left w:color="000000" w:space="0" w:sz="0" w:val="nil"/>
              <w:bottom w:color="000000" w:space="0" w:sz="8" w:val="single"/>
              <w:right w:color="000000" w:space="0" w:sz="8" w:val="single"/>
            </w:tcBorders>
            <w:shd w:fill="ffffff" w:val="clear"/>
            <w:vAlign w:val="center"/>
          </w:tcPr>
          <w:p w:rsidR="00000000" w:rsidDel="00000000" w:rsidP="00000000" w:rsidRDefault="00000000" w:rsidRPr="00000000" w14:paraId="000000C1">
            <w:pPr>
              <w:jc w:val="cente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94,41%</w:t>
            </w:r>
          </w:p>
        </w:tc>
        <w:tc>
          <w:tcPr>
            <w:vAlign w:val="center"/>
          </w:tcPr>
          <w:p w:rsidR="00000000" w:rsidDel="00000000" w:rsidP="00000000" w:rsidRDefault="00000000" w:rsidRPr="00000000" w14:paraId="000000C2">
            <w:pPr>
              <w:rPr>
                <w:sz w:val="20"/>
                <w:szCs w:val="20"/>
              </w:rPr>
            </w:pPr>
            <w:r w:rsidDel="00000000" w:rsidR="00000000" w:rsidRPr="00000000">
              <w:rPr>
                <w:rtl w:val="0"/>
              </w:rPr>
            </w:r>
          </w:p>
        </w:tc>
      </w:tr>
      <w:tr>
        <w:trPr>
          <w:trHeight w:val="324" w:hRule="atLeast"/>
        </w:trPr>
        <w:tc>
          <w:tcPr>
            <w:tcBorders>
              <w:top w:color="000000" w:space="0" w:sz="0" w:val="nil"/>
              <w:left w:color="000000" w:space="0" w:sz="8" w:val="single"/>
              <w:bottom w:color="000000" w:space="0" w:sz="8" w:val="single"/>
              <w:right w:color="000000" w:space="0" w:sz="8" w:val="single"/>
            </w:tcBorders>
            <w:shd w:fill="0070c0" w:val="clear"/>
            <w:vAlign w:val="center"/>
          </w:tcPr>
          <w:p w:rsidR="00000000" w:rsidDel="00000000" w:rsidP="00000000" w:rsidRDefault="00000000" w:rsidRPr="00000000" w14:paraId="000000C3">
            <w:pP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Total general</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4">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107.091</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5">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188.495</w:t>
            </w:r>
          </w:p>
        </w:tc>
        <w:tc>
          <w:tcPr>
            <w:tcBorders>
              <w:top w:color="000000" w:space="0" w:sz="0" w:val="nil"/>
              <w:left w:color="000000" w:space="0" w:sz="0" w:val="nil"/>
              <w:bottom w:color="000000" w:space="0" w:sz="8" w:val="single"/>
              <w:right w:color="000000" w:space="0" w:sz="8" w:val="single"/>
            </w:tcBorders>
            <w:shd w:fill="0070c0" w:val="clear"/>
            <w:vAlign w:val="center"/>
          </w:tcPr>
          <w:p w:rsidR="00000000" w:rsidDel="00000000" w:rsidP="00000000" w:rsidRDefault="00000000" w:rsidRPr="00000000" w14:paraId="000000C6">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213.602</w:t>
            </w:r>
          </w:p>
        </w:tc>
        <w:tc>
          <w:tcPr>
            <w:tcBorders>
              <w:top w:color="000000" w:space="0" w:sz="4" w:val="single"/>
              <w:left w:color="000000" w:space="0" w:sz="4" w:val="single"/>
              <w:bottom w:color="000000" w:space="0" w:sz="4" w:val="single"/>
              <w:right w:color="000000" w:space="0" w:sz="4" w:val="single"/>
            </w:tcBorders>
            <w:shd w:fill="0070c0" w:val="clear"/>
            <w:vAlign w:val="bottom"/>
          </w:tcPr>
          <w:p w:rsidR="00000000" w:rsidDel="00000000" w:rsidP="00000000" w:rsidRDefault="00000000" w:rsidRPr="00000000" w14:paraId="000000C7">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13%</w:t>
            </w:r>
          </w:p>
        </w:tc>
        <w:tc>
          <w:tcPr>
            <w:tcBorders>
              <w:top w:color="000000" w:space="0" w:sz="4" w:val="single"/>
              <w:left w:color="000000" w:space="0" w:sz="0" w:val="nil"/>
              <w:bottom w:color="000000" w:space="0" w:sz="4" w:val="single"/>
              <w:right w:color="000000" w:space="0" w:sz="4" w:val="single"/>
            </w:tcBorders>
            <w:shd w:fill="0070c0" w:val="clear"/>
            <w:vAlign w:val="bottom"/>
          </w:tcPr>
          <w:p w:rsidR="00000000" w:rsidDel="00000000" w:rsidP="00000000" w:rsidRDefault="00000000" w:rsidRPr="00000000" w14:paraId="000000C8">
            <w:pPr>
              <w:jc w:val="center"/>
              <w:rPr>
                <w:rFonts w:ascii="Calibri" w:cs="Calibri" w:eastAsia="Calibri" w:hAnsi="Calibri"/>
                <w:b w:val="1"/>
                <w:color w:val="ffffff"/>
                <w:sz w:val="22"/>
                <w:szCs w:val="22"/>
              </w:rPr>
            </w:pPr>
            <w:r w:rsidDel="00000000" w:rsidR="00000000" w:rsidRPr="00000000">
              <w:rPr>
                <w:rFonts w:ascii="Calibri" w:cs="Calibri" w:eastAsia="Calibri" w:hAnsi="Calibri"/>
                <w:b w:val="1"/>
                <w:color w:val="ffffff"/>
                <w:sz w:val="22"/>
                <w:szCs w:val="22"/>
                <w:rtl w:val="0"/>
              </w:rPr>
              <w:t xml:space="preserve">99%</w:t>
            </w:r>
          </w:p>
        </w:tc>
        <w:tc>
          <w:tcPr>
            <w:vAlign w:val="center"/>
          </w:tcPr>
          <w:p w:rsidR="00000000" w:rsidDel="00000000" w:rsidP="00000000" w:rsidRDefault="00000000" w:rsidRPr="00000000" w14:paraId="000000C9">
            <w:pPr>
              <w:rPr>
                <w:sz w:val="20"/>
                <w:szCs w:val="20"/>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pacing w:line="360" w:lineRule="auto"/>
        <w:jc w:val="both"/>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CB">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20"/>
          <w:szCs w:val="20"/>
          <w:highlight w:val="white"/>
        </w:rPr>
      </w:pPr>
      <w:r w:rsidDel="00000000" w:rsidR="00000000" w:rsidRPr="00000000">
        <w:rPr>
          <w:rtl w:val="0"/>
        </w:rPr>
      </w:r>
    </w:p>
    <w:p w:rsidR="00000000" w:rsidDel="00000000" w:rsidP="00000000" w:rsidRDefault="00000000" w:rsidRPr="00000000" w14:paraId="000000CC">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b w:val="1"/>
          <w:color w:val="000000"/>
          <w:sz w:val="20"/>
          <w:szCs w:val="20"/>
          <w:highlight w:val="white"/>
        </w:rPr>
      </w:pPr>
      <w:r w:rsidDel="00000000" w:rsidR="00000000" w:rsidRPr="00000000">
        <w:rPr>
          <w:rFonts w:ascii="Arial" w:cs="Arial" w:eastAsia="Arial" w:hAnsi="Arial"/>
          <w:b w:val="1"/>
          <w:color w:val="000000"/>
          <w:sz w:val="20"/>
          <w:szCs w:val="20"/>
          <w:highlight w:val="white"/>
          <w:rtl w:val="0"/>
        </w:rPr>
        <w:t xml:space="preserve">Información adicional:</w:t>
      </w:r>
    </w:p>
    <w:p w:rsidR="00000000" w:rsidDel="00000000" w:rsidP="00000000" w:rsidRDefault="00000000" w:rsidRPr="00000000" w14:paraId="000000CD">
      <w:pPr>
        <w:pBdr>
          <w:top w:color="000000" w:space="0" w:sz="0" w:val="none"/>
          <w:left w:color="000000" w:space="0" w:sz="0" w:val="none"/>
          <w:bottom w:color="000000" w:space="0" w:sz="0" w:val="none"/>
          <w:right w:color="000000" w:space="0" w:sz="0" w:val="none"/>
          <w:between w:color="000000" w:space="0" w:sz="0" w:val="none"/>
        </w:pBdr>
        <w:spacing w:line="360" w:lineRule="auto"/>
        <w:jc w:val="both"/>
        <w:rPr>
          <w:rFonts w:ascii="Arial" w:cs="Arial" w:eastAsia="Arial" w:hAnsi="Arial"/>
          <w:color w:val="000000"/>
          <w:sz w:val="18"/>
          <w:szCs w:val="18"/>
          <w:highlight w:val="white"/>
          <w:u w:val="single"/>
        </w:rPr>
      </w:pPr>
      <w:r w:rsidDel="00000000" w:rsidR="00000000" w:rsidRPr="00000000">
        <w:rPr>
          <w:rFonts w:ascii="Arial" w:cs="Arial" w:eastAsia="Arial" w:hAnsi="Arial"/>
          <w:color w:val="000000"/>
          <w:sz w:val="18"/>
          <w:szCs w:val="18"/>
          <w:highlight w:val="white"/>
          <w:rtl w:val="0"/>
        </w:rPr>
        <w:t xml:space="preserve">Para acceder al histórico de otros meses puedes dirigirte a </w:t>
      </w:r>
      <w:hyperlink r:id="rId8">
        <w:r w:rsidDel="00000000" w:rsidR="00000000" w:rsidRPr="00000000">
          <w:rPr>
            <w:rFonts w:ascii="Arial" w:cs="Arial" w:eastAsia="Arial" w:hAnsi="Arial"/>
            <w:color w:val="005180"/>
            <w:sz w:val="18"/>
            <w:szCs w:val="18"/>
            <w:highlight w:val="white"/>
            <w:u w:val="single"/>
            <w:rtl w:val="0"/>
          </w:rPr>
          <w:t xml:space="preserve">Indicadores y #</w:t>
        </w:r>
      </w:hyperlink>
      <w:hyperlink r:id="rId9">
        <w:r w:rsidDel="00000000" w:rsidR="00000000" w:rsidRPr="00000000">
          <w:rPr>
            <w:rFonts w:ascii="Arial" w:cs="Arial" w:eastAsia="Arial" w:hAnsi="Arial"/>
            <w:color w:val="005180"/>
            <w:sz w:val="18"/>
            <w:szCs w:val="18"/>
            <w:highlight w:val="white"/>
            <w:u w:val="single"/>
            <w:rtl w:val="0"/>
          </w:rPr>
          <w:t xml:space="preserve">LosProfesionalesMásDemandados</w:t>
        </w:r>
      </w:hyperlink>
      <w:hyperlink r:id="rId10">
        <w:r w:rsidDel="00000000" w:rsidR="00000000" w:rsidRPr="00000000">
          <w:rPr>
            <w:rFonts w:ascii="Arial" w:cs="Arial" w:eastAsia="Arial" w:hAnsi="Arial"/>
            <w:color w:val="005180"/>
            <w:sz w:val="18"/>
            <w:szCs w:val="18"/>
            <w:highlight w:val="white"/>
            <w:u w:val="single"/>
            <w:rtl w:val="0"/>
          </w:rPr>
          <w:t xml:space="preserve"> de InfoJobs</w:t>
        </w:r>
      </w:hyperlink>
      <w:r w:rsidDel="00000000" w:rsidR="00000000" w:rsidRPr="00000000">
        <w:rPr>
          <w:rFonts w:ascii="Arial" w:cs="Arial" w:eastAsia="Arial" w:hAnsi="Arial"/>
          <w:color w:val="005180"/>
          <w:sz w:val="18"/>
          <w:szCs w:val="18"/>
          <w:highlight w:val="white"/>
          <w:u w:val="single"/>
          <w:rtl w:val="0"/>
        </w:rPr>
        <w:t xml:space="preserve">.</w:t>
      </w:r>
      <w:r w:rsidDel="00000000" w:rsidR="00000000" w:rsidRPr="00000000">
        <w:rPr>
          <w:rtl w:val="0"/>
        </w:rPr>
      </w:r>
    </w:p>
    <w:p w:rsidR="00000000" w:rsidDel="00000000" w:rsidP="00000000" w:rsidRDefault="00000000" w:rsidRPr="00000000" w14:paraId="000000CE">
      <w:pPr>
        <w:spacing w:line="360" w:lineRule="auto"/>
        <w:jc w:val="both"/>
        <w:rPr>
          <w:rFonts w:ascii="Arial" w:cs="Arial" w:eastAsia="Arial" w:hAnsi="Arial"/>
          <w:b w:val="1"/>
          <w:color w:val="808080"/>
          <w:sz w:val="16"/>
          <w:szCs w:val="16"/>
          <w:u w:val="single"/>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jc w:val="both"/>
        <w:rPr>
          <w:rFonts w:ascii="Arial" w:cs="Arial" w:eastAsia="Arial" w:hAnsi="Arial"/>
          <w:b w:val="1"/>
          <w:color w:val="808080"/>
          <w:sz w:val="16"/>
          <w:szCs w:val="16"/>
        </w:rPr>
      </w:pPr>
      <w:r w:rsidDel="00000000" w:rsidR="00000000" w:rsidRPr="00000000">
        <w:rPr>
          <w:rFonts w:ascii="Arial" w:cs="Arial" w:eastAsia="Arial" w:hAnsi="Arial"/>
          <w:b w:val="1"/>
          <w:color w:val="808080"/>
          <w:sz w:val="16"/>
          <w:szCs w:val="16"/>
          <w:rtl w:val="0"/>
        </w:rPr>
        <w:t xml:space="preserve">Sobre InfoJobs</w:t>
      </w:r>
    </w:p>
    <w:p w:rsidR="00000000" w:rsidDel="00000000" w:rsidP="00000000" w:rsidRDefault="00000000" w:rsidRPr="00000000" w14:paraId="000000D0">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Plataforma líder en España para encontrar las mejores oportunidades profesionales y el mejor talento. En el último año, InfoJobs ha publicado más de 1,5 millones de posiciones vacantes. Cuenta cada mes con 40 millones de visitas (más del 80% proceden de dispositivos móviles) y cerca de 6 millones de usuarios activos. (Fuente datos: Adobe Analytics Feb 2021).</w: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InfoJobs pertenece a Adevinta, compañía líder en marketplaces digitales y una de las principales empresas del sector tecnológico del país, con más de 18 millones de usuarios al mes en sus plataformas de los sectores inmobiliario (</w:t>
      </w:r>
      <w:hyperlink r:id="rId11">
        <w:r w:rsidDel="00000000" w:rsidR="00000000" w:rsidRPr="00000000">
          <w:rPr>
            <w:rFonts w:ascii="Arial" w:cs="Arial" w:eastAsia="Arial" w:hAnsi="Arial"/>
            <w:color w:val="808080"/>
            <w:sz w:val="16"/>
            <w:szCs w:val="16"/>
            <w:u w:val="single"/>
            <w:rtl w:val="0"/>
          </w:rPr>
          <w:t xml:space="preserve">Fotocasa</w:t>
        </w:r>
      </w:hyperlink>
      <w:r w:rsidDel="00000000" w:rsidR="00000000" w:rsidRPr="00000000">
        <w:rPr>
          <w:rFonts w:ascii="Arial" w:cs="Arial" w:eastAsia="Arial" w:hAnsi="Arial"/>
          <w:color w:val="808080"/>
          <w:sz w:val="16"/>
          <w:szCs w:val="16"/>
          <w:rtl w:val="0"/>
        </w:rPr>
        <w:t xml:space="preserve"> y </w:t>
      </w:r>
      <w:hyperlink r:id="rId12">
        <w:r w:rsidDel="00000000" w:rsidR="00000000" w:rsidRPr="00000000">
          <w:rPr>
            <w:rFonts w:ascii="Arial" w:cs="Arial" w:eastAsia="Arial" w:hAnsi="Arial"/>
            <w:color w:val="808080"/>
            <w:sz w:val="16"/>
            <w:szCs w:val="16"/>
            <w:u w:val="single"/>
            <w:rtl w:val="0"/>
          </w:rPr>
          <w:t xml:space="preserve">habitaclia</w:t>
        </w:r>
      </w:hyperlink>
      <w:r w:rsidDel="00000000" w:rsidR="00000000" w:rsidRPr="00000000">
        <w:rPr>
          <w:rFonts w:ascii="Arial" w:cs="Arial" w:eastAsia="Arial" w:hAnsi="Arial"/>
          <w:color w:val="808080"/>
          <w:sz w:val="16"/>
          <w:szCs w:val="16"/>
          <w:rtl w:val="0"/>
        </w:rPr>
        <w:t xml:space="preserve">), empleo (</w:t>
      </w:r>
      <w:hyperlink r:id="rId13">
        <w:r w:rsidDel="00000000" w:rsidR="00000000" w:rsidRPr="00000000">
          <w:rPr>
            <w:rFonts w:ascii="Arial" w:cs="Arial" w:eastAsia="Arial" w:hAnsi="Arial"/>
            <w:color w:val="808080"/>
            <w:sz w:val="16"/>
            <w:szCs w:val="16"/>
            <w:u w:val="single"/>
            <w:rtl w:val="0"/>
          </w:rPr>
          <w:t xml:space="preserve">InfoJobs</w:t>
        </w:r>
      </w:hyperlink>
      <w:r w:rsidDel="00000000" w:rsidR="00000000" w:rsidRPr="00000000">
        <w:rPr>
          <w:rFonts w:ascii="Arial" w:cs="Arial" w:eastAsia="Arial" w:hAnsi="Arial"/>
          <w:color w:val="808080"/>
          <w:sz w:val="16"/>
          <w:szCs w:val="16"/>
          <w:rtl w:val="0"/>
        </w:rPr>
        <w:t xml:space="preserve">), motor (</w:t>
      </w:r>
      <w:hyperlink r:id="rId14">
        <w:r w:rsidDel="00000000" w:rsidR="00000000" w:rsidRPr="00000000">
          <w:rPr>
            <w:rFonts w:ascii="Arial" w:cs="Arial" w:eastAsia="Arial" w:hAnsi="Arial"/>
            <w:color w:val="808080"/>
            <w:sz w:val="16"/>
            <w:szCs w:val="16"/>
            <w:u w:val="single"/>
            <w:rtl w:val="0"/>
          </w:rPr>
          <w:t xml:space="preserve">coches.net</w:t>
        </w:r>
      </w:hyperlink>
      <w:r w:rsidDel="00000000" w:rsidR="00000000" w:rsidRPr="00000000">
        <w:rPr>
          <w:rFonts w:ascii="Arial" w:cs="Arial" w:eastAsia="Arial" w:hAnsi="Arial"/>
          <w:color w:val="808080"/>
          <w:sz w:val="16"/>
          <w:szCs w:val="16"/>
          <w:rtl w:val="0"/>
        </w:rPr>
        <w:t xml:space="preserve"> y </w:t>
      </w:r>
      <w:hyperlink r:id="rId15">
        <w:r w:rsidDel="00000000" w:rsidR="00000000" w:rsidRPr="00000000">
          <w:rPr>
            <w:rFonts w:ascii="Arial" w:cs="Arial" w:eastAsia="Arial" w:hAnsi="Arial"/>
            <w:color w:val="808080"/>
            <w:sz w:val="16"/>
            <w:szCs w:val="16"/>
            <w:u w:val="single"/>
            <w:rtl w:val="0"/>
          </w:rPr>
          <w:t xml:space="preserve">motos.net</w:t>
        </w:r>
      </w:hyperlink>
      <w:r w:rsidDel="00000000" w:rsidR="00000000" w:rsidRPr="00000000">
        <w:rPr>
          <w:rFonts w:ascii="Arial" w:cs="Arial" w:eastAsia="Arial" w:hAnsi="Arial"/>
          <w:color w:val="808080"/>
          <w:sz w:val="16"/>
          <w:szCs w:val="16"/>
          <w:rtl w:val="0"/>
        </w:rPr>
        <w:t xml:space="preserve">) y compraventa de artículos de segunda mano (</w:t>
      </w:r>
      <w:hyperlink r:id="rId16">
        <w:r w:rsidDel="00000000" w:rsidR="00000000" w:rsidRPr="00000000">
          <w:rPr>
            <w:rFonts w:ascii="Arial" w:cs="Arial" w:eastAsia="Arial" w:hAnsi="Arial"/>
            <w:color w:val="808080"/>
            <w:sz w:val="16"/>
            <w:szCs w:val="16"/>
            <w:u w:val="single"/>
            <w:rtl w:val="0"/>
          </w:rPr>
          <w:t xml:space="preserve">Milanuncios</w:t>
        </w:r>
      </w:hyperlink>
      <w:r w:rsidDel="00000000" w:rsidR="00000000" w:rsidRPr="00000000">
        <w:rPr>
          <w:rFonts w:ascii="Arial" w:cs="Arial" w:eastAsia="Arial" w:hAnsi="Arial"/>
          <w:color w:val="808080"/>
          <w:sz w:val="16"/>
          <w:szCs w:val="16"/>
          <w:rtl w:val="0"/>
        </w:rPr>
        <w:t xml:space="preserve">).</w:t>
      </w: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jc w:val="both"/>
        <w:rPr>
          <w:color w:val="000000"/>
        </w:rPr>
      </w:pPr>
      <w:r w:rsidDel="00000000" w:rsidR="00000000" w:rsidRPr="00000000">
        <w:rPr>
          <w:rFonts w:ascii="Arial" w:cs="Arial" w:eastAsia="Arial" w:hAnsi="Arial"/>
          <w:color w:val="808080"/>
          <w:sz w:val="16"/>
          <w:szCs w:val="16"/>
          <w:rtl w:val="0"/>
        </w:rPr>
        <w:t xml:space="preserve"> </w:t>
      </w:r>
      <w:r w:rsidDel="00000000" w:rsidR="00000000" w:rsidRPr="00000000">
        <w:rPr>
          <w:rtl w:val="0"/>
        </w:rPr>
      </w:r>
    </w:p>
    <w:p w:rsidR="00000000" w:rsidDel="00000000" w:rsidP="00000000" w:rsidRDefault="00000000" w:rsidRPr="00000000" w14:paraId="000000D4">
      <w:pPr>
        <w:jc w:val="both"/>
        <w:rPr>
          <w:rFonts w:ascii="Arial" w:cs="Arial" w:eastAsia="Arial" w:hAnsi="Arial"/>
          <w:color w:val="808080"/>
          <w:sz w:val="16"/>
          <w:szCs w:val="16"/>
        </w:rPr>
      </w:pPr>
      <w:r w:rsidDel="00000000" w:rsidR="00000000" w:rsidRPr="00000000">
        <w:rPr>
          <w:rtl w:val="0"/>
        </w:rPr>
      </w:r>
    </w:p>
    <w:p w:rsidR="00000000" w:rsidDel="00000000" w:rsidP="00000000" w:rsidRDefault="00000000" w:rsidRPr="00000000" w14:paraId="000000D5">
      <w:pPr>
        <w:jc w:val="both"/>
        <w:rPr>
          <w:rFonts w:ascii="Arial" w:cs="Arial" w:eastAsia="Arial" w:hAnsi="Arial"/>
          <w:color w:val="808080"/>
          <w:sz w:val="16"/>
          <w:szCs w:val="16"/>
        </w:rPr>
      </w:pPr>
      <w:r w:rsidDel="00000000" w:rsidR="00000000" w:rsidRPr="00000000">
        <w:rPr>
          <w:rFonts w:ascii="Arial" w:cs="Arial" w:eastAsia="Arial" w:hAnsi="Arial"/>
          <w:color w:val="808080"/>
          <w:sz w:val="16"/>
          <w:szCs w:val="16"/>
          <w:rtl w:val="0"/>
        </w:rPr>
        <w:t xml:space="preserve">Adevinta tiene presencia mundial en 16 países. En España cuenta con una plantilla de 1.100 empleados, comprometidos con fomentar un cambio positivo en el mundo a través de tecnología innovadora, otorgando una nueva oportunidad a quienes la están buscando y dando a las cosas una segunda vida. El conjunto de sus plataformas locales recibe un promedio de 3.000 millones de visitas cada mes. Más información en </w:t>
      </w:r>
      <w:hyperlink r:id="rId17">
        <w:r w:rsidDel="00000000" w:rsidR="00000000" w:rsidRPr="00000000">
          <w:rPr>
            <w:rFonts w:ascii="Arial" w:cs="Arial" w:eastAsia="Arial" w:hAnsi="Arial"/>
            <w:color w:val="808080"/>
            <w:sz w:val="16"/>
            <w:szCs w:val="16"/>
            <w:u w:val="single"/>
            <w:rtl w:val="0"/>
          </w:rPr>
          <w:t xml:space="preserve">adevinta.es</w:t>
        </w:r>
      </w:hyperlink>
      <w:r w:rsidDel="00000000" w:rsidR="00000000" w:rsidRPr="00000000">
        <w:rPr>
          <w:rFonts w:ascii="Arial" w:cs="Arial" w:eastAsia="Arial" w:hAnsi="Arial"/>
          <w:color w:val="808080"/>
          <w:sz w:val="16"/>
          <w:szCs w:val="16"/>
          <w:rtl w:val="0"/>
        </w:rPr>
        <w:t xml:space="preserve">.</w:t>
      </w:r>
    </w:p>
    <w:p w:rsidR="00000000" w:rsidDel="00000000" w:rsidP="00000000" w:rsidRDefault="00000000" w:rsidRPr="00000000" w14:paraId="000000D6">
      <w:pPr>
        <w:spacing w:line="252.00000000000003" w:lineRule="auto"/>
        <w:rPr>
          <w:rFonts w:ascii="Arial" w:cs="Arial" w:eastAsia="Arial" w:hAnsi="Arial"/>
          <w:sz w:val="20"/>
          <w:szCs w:val="20"/>
        </w:rPr>
      </w:pP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0D7">
      <w:pPr>
        <w:spacing w:line="360" w:lineRule="auto"/>
        <w:jc w:val="both"/>
        <w:rPr>
          <w:rFonts w:ascii="Arial" w:cs="Arial" w:eastAsia="Arial" w:hAnsi="Arial"/>
          <w:b w:val="1"/>
          <w:color w:val="7f7f7f"/>
          <w:sz w:val="18"/>
          <w:szCs w:val="18"/>
        </w:rPr>
      </w:pPr>
      <w:r w:rsidDel="00000000" w:rsidR="00000000" w:rsidRPr="00000000">
        <w:rPr>
          <w:rFonts w:ascii="Arial" w:cs="Arial" w:eastAsia="Arial" w:hAnsi="Arial"/>
          <w:b w:val="1"/>
          <w:color w:val="7f7f7f"/>
          <w:sz w:val="18"/>
          <w:szCs w:val="18"/>
          <w:rtl w:val="0"/>
        </w:rPr>
        <w:t xml:space="preserve">Contacto</w:t>
      </w:r>
      <w:r w:rsidDel="00000000" w:rsidR="00000000" w:rsidRPr="00000000">
        <w:rPr>
          <w:rFonts w:ascii="Arial" w:cs="Arial" w:eastAsia="Arial" w:hAnsi="Arial"/>
          <w:color w:val="7f7f7f"/>
          <w:sz w:val="18"/>
          <w:szCs w:val="18"/>
          <w:rtl w:val="0"/>
        </w:rPr>
        <w:t xml:space="preserve">:</w:t>
      </w:r>
      <w:r w:rsidDel="00000000" w:rsidR="00000000" w:rsidRPr="00000000">
        <w:rPr>
          <w:rtl w:val="0"/>
        </w:rPr>
      </w:r>
    </w:p>
    <w:p w:rsidR="00000000" w:rsidDel="00000000" w:rsidP="00000000" w:rsidRDefault="00000000" w:rsidRPr="00000000" w14:paraId="000000D8">
      <w:pPr>
        <w:pBdr>
          <w:top w:space="0" w:sz="0" w:val="nil"/>
          <w:left w:space="0" w:sz="0" w:val="nil"/>
          <w:bottom w:space="0" w:sz="0" w:val="nil"/>
          <w:right w:space="0" w:sz="0" w:val="nil"/>
          <w:between w:space="0" w:sz="0" w:val="nil"/>
        </w:pBdr>
        <w:jc w:val="both"/>
        <w:rPr>
          <w:rFonts w:ascii="Arial" w:cs="Arial" w:eastAsia="Arial" w:hAnsi="Arial"/>
          <w:strike w:val="1"/>
          <w:color w:val="ff0000"/>
          <w:sz w:val="18"/>
          <w:szCs w:val="18"/>
        </w:rPr>
      </w:pPr>
      <w:r w:rsidDel="00000000" w:rsidR="00000000" w:rsidRPr="00000000">
        <w:rPr>
          <w:rFonts w:ascii="Arial" w:cs="Arial" w:eastAsia="Arial" w:hAnsi="Arial"/>
          <w:b w:val="1"/>
          <w:color w:val="7f7f7f"/>
          <w:sz w:val="18"/>
          <w:szCs w:val="18"/>
          <w:rtl w:val="0"/>
        </w:rPr>
        <w:t xml:space="preserve">InfoJobs</w:t>
      </w:r>
      <w:r w:rsidDel="00000000" w:rsidR="00000000" w:rsidRPr="00000000">
        <w:rPr>
          <w:rFonts w:ascii="Arial" w:cs="Arial" w:eastAsia="Arial" w:hAnsi="Arial"/>
          <w:color w:val="7f7f7f"/>
          <w:sz w:val="18"/>
          <w:szCs w:val="18"/>
          <w:rtl w:val="0"/>
        </w:rPr>
        <w:t xml:space="preserve">: Mónica Pérez Callejo</w:t>
        <w:tab/>
      </w:r>
      <w:r w:rsidDel="00000000" w:rsidR="00000000" w:rsidRPr="00000000">
        <w:rPr>
          <w:rFonts w:ascii="Arial" w:cs="Arial" w:eastAsia="Arial" w:hAnsi="Arial"/>
          <w:color w:val="808080"/>
          <w:sz w:val="18"/>
          <w:szCs w:val="18"/>
          <w:rtl w:val="0"/>
        </w:rPr>
        <w:tab/>
        <w:t xml:space="preserve">  </w:t>
        <w:tab/>
        <w:t xml:space="preserve">  </w:t>
        <w:tab/>
        <w:t xml:space="preserve"> </w:t>
      </w:r>
      <w:r w:rsidDel="00000000" w:rsidR="00000000" w:rsidRPr="00000000">
        <w:rPr>
          <w:rFonts w:ascii="Arial" w:cs="Arial" w:eastAsia="Arial" w:hAnsi="Arial"/>
          <w:b w:val="1"/>
          <w:color w:val="7f7f7f"/>
          <w:sz w:val="18"/>
          <w:szCs w:val="18"/>
          <w:rtl w:val="0"/>
        </w:rPr>
        <w:t xml:space="preserve">Evercom</w:t>
      </w:r>
      <w:r w:rsidDel="00000000" w:rsidR="00000000" w:rsidRPr="00000000">
        <w:rPr>
          <w:rFonts w:ascii="Arial" w:cs="Arial" w:eastAsia="Arial" w:hAnsi="Arial"/>
          <w:color w:val="7f7f7f"/>
          <w:sz w:val="18"/>
          <w:szCs w:val="18"/>
          <w:rtl w:val="0"/>
        </w:rPr>
        <w:t xml:space="preserve">: Pablo Gutiérrez / Albert Cuesta</w:t>
      </w:r>
      <w:r w:rsidDel="00000000" w:rsidR="00000000" w:rsidRPr="00000000">
        <w:rPr>
          <w:rtl w:val="0"/>
        </w:rPr>
      </w:r>
    </w:p>
    <w:p w:rsidR="00000000" w:rsidDel="00000000" w:rsidP="00000000" w:rsidRDefault="00000000" w:rsidRPr="00000000" w14:paraId="000000D9">
      <w:pPr>
        <w:jc w:val="both"/>
        <w:rPr>
          <w:rFonts w:ascii="Arial" w:cs="Arial" w:eastAsia="Arial" w:hAnsi="Arial"/>
          <w:color w:val="7f7f7f"/>
          <w:sz w:val="18"/>
          <w:szCs w:val="18"/>
        </w:rPr>
      </w:pPr>
      <w:hyperlink r:id="rId18">
        <w:r w:rsidDel="00000000" w:rsidR="00000000" w:rsidRPr="00000000">
          <w:rPr>
            <w:rFonts w:ascii="Arial" w:cs="Arial" w:eastAsia="Arial" w:hAnsi="Arial"/>
            <w:b w:val="1"/>
            <w:color w:val="0070c0"/>
            <w:sz w:val="18"/>
            <w:szCs w:val="18"/>
            <w:rtl w:val="0"/>
          </w:rPr>
          <w:t xml:space="preserve">prensa@infojobs.net</w:t>
        </w:r>
      </w:hyperlink>
      <w:r w:rsidDel="00000000" w:rsidR="00000000" w:rsidRPr="00000000">
        <w:rPr>
          <w:rFonts w:ascii="Arial" w:cs="Arial" w:eastAsia="Arial" w:hAnsi="Arial"/>
          <w:color w:val="4f81bd"/>
          <w:sz w:val="18"/>
          <w:szCs w:val="18"/>
          <w:rtl w:val="0"/>
        </w:rPr>
        <w:tab/>
        <w:tab/>
        <w:tab/>
        <w:tab/>
        <w:t xml:space="preserve"> </w:t>
        <w:tab/>
        <w:t xml:space="preserve"> </w:t>
      </w:r>
      <w:hyperlink r:id="rId19">
        <w:r w:rsidDel="00000000" w:rsidR="00000000" w:rsidRPr="00000000">
          <w:rPr>
            <w:rFonts w:ascii="Arial" w:cs="Arial" w:eastAsia="Arial" w:hAnsi="Arial"/>
            <w:b w:val="1"/>
            <w:color w:val="0070c0"/>
            <w:sz w:val="18"/>
            <w:szCs w:val="18"/>
            <w:rtl w:val="0"/>
          </w:rPr>
          <w:t xml:space="preserve">infojobs@evercom.es</w:t>
        </w:r>
      </w:hyperlink>
      <w:r w:rsidDel="00000000" w:rsidR="00000000" w:rsidRPr="00000000">
        <w:rPr>
          <w:rFonts w:ascii="Arial" w:cs="Arial" w:eastAsia="Arial" w:hAnsi="Arial"/>
          <w:color w:val="0070c0"/>
          <w:sz w:val="18"/>
          <w:szCs w:val="18"/>
          <w:rtl w:val="0"/>
        </w:rPr>
        <w:t xml:space="preserve">  </w:t>
      </w:r>
      <w:r w:rsidDel="00000000" w:rsidR="00000000" w:rsidRPr="00000000">
        <w:rPr>
          <w:rtl w:val="0"/>
        </w:rPr>
      </w:r>
    </w:p>
    <w:p w:rsidR="00000000" w:rsidDel="00000000" w:rsidP="00000000" w:rsidRDefault="00000000" w:rsidRPr="00000000" w14:paraId="000000DA">
      <w:pPr>
        <w:pBdr>
          <w:top w:color="000000" w:space="0" w:sz="0" w:val="none"/>
          <w:left w:color="000000" w:space="0" w:sz="0" w:val="none"/>
          <w:bottom w:color="000000" w:space="0" w:sz="0" w:val="none"/>
          <w:right w:color="000000" w:space="0" w:sz="0" w:val="none"/>
          <w:between w:color="000000" w:space="0" w:sz="0" w:val="none"/>
        </w:pBdr>
        <w:jc w:val="both"/>
        <w:rPr>
          <w:rFonts w:ascii="Arial" w:cs="Arial" w:eastAsia="Arial" w:hAnsi="Arial"/>
          <w:color w:val="000000"/>
          <w:sz w:val="20"/>
          <w:szCs w:val="20"/>
        </w:rPr>
      </w:pPr>
      <w:r w:rsidDel="00000000" w:rsidR="00000000" w:rsidRPr="00000000">
        <w:rPr>
          <w:rtl w:val="0"/>
        </w:rPr>
        <w:t xml:space="preserve">     </w:t>
      </w:r>
      <w:r w:rsidDel="00000000" w:rsidR="00000000" w:rsidRPr="00000000">
        <w:rPr>
          <w:rFonts w:ascii="Arial" w:cs="Arial" w:eastAsia="Arial" w:hAnsi="Arial"/>
          <w:color w:val="808080"/>
          <w:sz w:val="16"/>
          <w:szCs w:val="16"/>
          <w:rtl w:val="0"/>
        </w:rPr>
        <w:t xml:space="preserve">   </w:t>
        <w:tab/>
        <w:t xml:space="preserve">                    </w:t>
        <w:tab/>
        <w:tab/>
        <w:tab/>
        <w:t xml:space="preserve"> </w:t>
        <w:tab/>
        <w:t xml:space="preserve">                 T. </w:t>
      </w:r>
      <w:r w:rsidDel="00000000" w:rsidR="00000000" w:rsidRPr="00000000">
        <w:rPr>
          <w:rFonts w:ascii="Arial" w:cs="Arial" w:eastAsia="Arial" w:hAnsi="Arial"/>
          <w:color w:val="7f7f7f"/>
          <w:sz w:val="18"/>
          <w:szCs w:val="18"/>
          <w:rtl w:val="0"/>
        </w:rPr>
        <w:t xml:space="preserve">34 93 415 37 05 - 676 86 98 56</w:t>
      </w:r>
      <w:r w:rsidDel="00000000" w:rsidR="00000000" w:rsidRPr="00000000">
        <w:rPr>
          <w:rtl w:val="0"/>
        </w:rPr>
      </w:r>
    </w:p>
    <w:p w:rsidR="00000000" w:rsidDel="00000000" w:rsidP="00000000" w:rsidRDefault="00000000" w:rsidRPr="00000000" w14:paraId="000000DB">
      <w:pPr>
        <w:pBdr>
          <w:top w:space="0" w:sz="0" w:val="nil"/>
          <w:left w:space="0" w:sz="0" w:val="nil"/>
          <w:bottom w:space="0" w:sz="0" w:val="nil"/>
          <w:right w:space="0" w:sz="0" w:val="nil"/>
          <w:between w:space="0" w:sz="0" w:val="nil"/>
        </w:pBdr>
        <w:spacing w:line="360" w:lineRule="auto"/>
        <w:jc w:val="both"/>
        <w:rPr>
          <w:rFonts w:ascii="Arial" w:cs="Arial" w:eastAsia="Arial" w:hAnsi="Arial"/>
          <w:sz w:val="20"/>
          <w:szCs w:val="20"/>
          <w:highlight w:val="white"/>
        </w:rPr>
      </w:pPr>
      <w:r w:rsidDel="00000000" w:rsidR="00000000" w:rsidRPr="00000000">
        <w:rPr>
          <w:rtl w:val="0"/>
        </w:rPr>
      </w:r>
    </w:p>
    <w:sectPr>
      <w:headerReference r:id="rId20" w:type="default"/>
      <w:headerReference r:id="rId21" w:type="first"/>
      <w:headerReference r:id="rId22" w:type="even"/>
      <w:footerReference r:id="rId23" w:type="default"/>
      <w:footerReference r:id="rId24" w:type="first"/>
      <w:footerReference r:id="rId25" w:type="even"/>
      <w:pgSz w:h="16838" w:w="11906" w:orient="portrait"/>
      <w:pgMar w:bottom="1134" w:top="1276" w:left="1418" w:right="14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1">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3">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C">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3a7ab2"/>
        <w:sz w:val="28"/>
        <w:szCs w:val="28"/>
      </w:rPr>
      <w:drawing>
        <wp:anchor allowOverlap="1" behindDoc="0" distB="152400" distT="152400" distL="152400" distR="152400" hidden="0" layoutInCell="1" locked="0" relativeHeight="0" simplePos="0">
          <wp:simplePos x="0" y="0"/>
          <wp:positionH relativeFrom="margin">
            <wp:posOffset>5429250</wp:posOffset>
          </wp:positionH>
          <wp:positionV relativeFrom="page">
            <wp:posOffset>0</wp:posOffset>
          </wp:positionV>
          <wp:extent cx="720001" cy="720001"/>
          <wp:effectExtent b="0" l="0" r="0" t="0"/>
          <wp:wrapSquare wrapText="bothSides" distB="152400" distT="152400" distL="152400" distR="152400"/>
          <wp:docPr id="48"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20001" cy="720001"/>
                  </a:xfrm>
                  <a:prstGeom prst="rect"/>
                  <a:ln/>
                </pic:spPr>
              </pic:pic>
            </a:graphicData>
          </a:graphic>
        </wp:anchor>
      </w:drawing>
    </w:r>
    <w:r w:rsidDel="00000000" w:rsidR="00000000" w:rsidRPr="00000000">
      <w:rPr>
        <w:rFonts w:ascii="Arial" w:cs="Arial" w:eastAsia="Arial" w:hAnsi="Arial"/>
        <w:color w:val="919191"/>
        <w:rtl w:val="0"/>
      </w:rPr>
      <w:t xml:space="preserve">Análisis de Indicadores InfoJobs junio 2021</w:t>
    </w:r>
    <w:r w:rsidDel="00000000" w:rsidR="00000000" w:rsidRPr="00000000">
      <w:drawing>
        <wp:anchor allowOverlap="1" behindDoc="0" distB="0" distT="0" distL="114300" distR="114300" hidden="0" layoutInCell="1" locked="0" relativeHeight="0" simplePos="0">
          <wp:simplePos x="0" y="0"/>
          <wp:positionH relativeFrom="column">
            <wp:posOffset>-557527</wp:posOffset>
          </wp:positionH>
          <wp:positionV relativeFrom="paragraph">
            <wp:posOffset>-76832</wp:posOffset>
          </wp:positionV>
          <wp:extent cx="1104900" cy="278130"/>
          <wp:effectExtent b="0" l="0" r="0" t="0"/>
          <wp:wrapSquare wrapText="bothSides" distB="0" distT="0" distL="114300" distR="114300"/>
          <wp:docPr id="49"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1104900" cy="278130"/>
                  </a:xfrm>
                  <a:prstGeom prst="rect"/>
                  <a:ln/>
                </pic:spPr>
              </pic:pic>
            </a:graphicData>
          </a:graphic>
        </wp:anchor>
      </w:drawing>
    </w:r>
  </w:p>
  <w:p w:rsidR="00000000" w:rsidDel="00000000" w:rsidP="00000000" w:rsidRDefault="00000000" w:rsidRPr="00000000" w14:paraId="000000DD">
    <w:pPr>
      <w:pBdr>
        <w:top w:space="0" w:sz="0" w:val="nil"/>
        <w:left w:space="0" w:sz="0" w:val="nil"/>
        <w:bottom w:space="0" w:sz="0" w:val="nil"/>
        <w:right w:space="0" w:sz="0" w:val="nil"/>
        <w:between w:space="0" w:sz="0" w:val="nil"/>
      </w:pBdr>
      <w:tabs>
        <w:tab w:val="right" w:pos="9020"/>
        <w:tab w:val="center" w:pos="4819"/>
        <w:tab w:val="right" w:pos="9638"/>
      </w:tabs>
      <w:jc w:val="center"/>
      <w:rPr>
        <w:rFonts w:ascii="Arial" w:cs="Arial" w:eastAsia="Arial" w:hAnsi="Arial"/>
        <w:color w:val="919191"/>
      </w:rPr>
    </w:pPr>
    <w:r w:rsidDel="00000000" w:rsidR="00000000" w:rsidRPr="00000000">
      <w:rPr>
        <w:rFonts w:ascii="Arial" w:cs="Arial" w:eastAsia="Arial" w:hAnsi="Arial"/>
        <w:color w:val="919191"/>
        <w:rtl w:val="0"/>
      </w:rPr>
      <w:t xml:space="preserve">   #</w:t>
    </w:r>
    <w:r w:rsidDel="00000000" w:rsidR="00000000" w:rsidRPr="00000000">
      <w:rPr>
        <w:rFonts w:ascii="Arial" w:cs="Arial" w:eastAsia="Arial" w:hAnsi="Arial"/>
        <w:color w:val="919191"/>
        <w:rtl w:val="0"/>
      </w:rPr>
      <w:t xml:space="preserve">LosProfesionalesMásDemandados</w:t>
    </w:r>
    <w:r w:rsidDel="00000000" w:rsidR="00000000" w:rsidRPr="00000000">
      <w:rPr>
        <w:rFonts w:ascii="Arial" w:cs="Arial" w:eastAsia="Arial" w:hAnsi="Arial"/>
        <w:color w:val="919191"/>
        <w:rtl w:val="0"/>
      </w:rPr>
      <w:t xml:space="preserve"> #MercadoLaboral</w:t>
    </w:r>
  </w:p>
  <w:p w:rsidR="00000000" w:rsidDel="00000000" w:rsidP="00000000" w:rsidRDefault="00000000" w:rsidRPr="00000000" w14:paraId="000000DE">
    <w:pPr>
      <w:pBdr>
        <w:top w:space="0" w:sz="0" w:val="nil"/>
        <w:left w:space="0" w:sz="0" w:val="nil"/>
        <w:bottom w:space="0" w:sz="0" w:val="nil"/>
        <w:right w:space="0" w:sz="0" w:val="nil"/>
        <w:between w:space="0" w:sz="0" w:val="nil"/>
      </w:pBdr>
      <w:tabs>
        <w:tab w:val="right" w:pos="9020"/>
        <w:tab w:val="center" w:pos="4819"/>
        <w:tab w:val="right" w:pos="9638"/>
      </w:tabs>
      <w:rPr>
        <w:rFonts w:ascii="Arial" w:cs="Arial" w:eastAsia="Arial" w:hAnsi="Arial"/>
        <w:color w:val="3a7ab2"/>
        <w:sz w:val="28"/>
        <w:szCs w:val="28"/>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pBdr>
        <w:top w:space="0" w:sz="0" w:val="nil"/>
        <w:left w:space="0" w:sz="0" w:val="nil"/>
        <w:bottom w:space="0" w:sz="0" w:val="nil"/>
        <w:right w:space="0" w:sz="0" w:val="nil"/>
        <w:between w:space="0" w:sz="0" w:val="nil"/>
      </w:pBdr>
      <w:tabs>
        <w:tab w:val="center" w:pos="4252"/>
        <w:tab w:val="right"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color w:val="0070c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Helvetica Neue" w:cs="Helvetica Neue" w:eastAsia="Helvetica Neue" w:hAnsi="Helvetica Neue"/>
      <w:b w:val="1"/>
      <w:i w:val="0"/>
      <w:smallCaps w:val="0"/>
      <w:strike w:val="0"/>
      <w:color w:val="000000"/>
      <w:sz w:val="60"/>
      <w:szCs w:val="60"/>
      <w:u w:val="none"/>
      <w:shd w:fill="auto" w:val="clear"/>
      <w:vertAlign w:val="baseline"/>
    </w:rPr>
  </w:style>
  <w:style w:type="paragraph" w:styleId="Normal" w:default="1">
    <w:name w:val="Normal"/>
    <w:qFormat w:val="1"/>
    <w:rPr>
      <w:lang w:eastAsia="en-US"/>
    </w:rPr>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next w:val="Cuerpo"/>
    <w:uiPriority w:val="10"/>
    <w:qFormat w:val="1"/>
    <w:pPr>
      <w:keepNext w:val="1"/>
    </w:pPr>
    <w:rPr>
      <w:rFonts w:ascii="Helvetica Neue" w:cs="Arial Unicode MS" w:hAnsi="Helvetica Neue"/>
      <w:b w:val="1"/>
      <w:bCs w:val="1"/>
      <w:color w:val="000000"/>
      <w:sz w:val="60"/>
      <w:szCs w:val="6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table" w:styleId="TableNormal3" w:customStyle="1">
    <w:name w:val="Table Normal"/>
    <w:tblPr>
      <w:tblCellMar>
        <w:top w:w="0.0" w:type="dxa"/>
        <w:left w:w="0.0" w:type="dxa"/>
        <w:bottom w:w="0.0" w:type="dxa"/>
        <w:right w:w="0.0" w:type="dxa"/>
      </w:tblCellMar>
    </w:tblPr>
  </w:style>
  <w:style w:type="table" w:styleId="TableNormal4" w:customStyle="1">
    <w:name w:val="Table Normal"/>
    <w:tblPr>
      <w:tblCellMar>
        <w:top w:w="0.0" w:type="dxa"/>
        <w:left w:w="0.0" w:type="dxa"/>
        <w:bottom w:w="0.0" w:type="dxa"/>
        <w:right w:w="0.0" w:type="dxa"/>
      </w:tblCellMar>
    </w:tblPr>
  </w:style>
  <w:style w:type="table" w:styleId="TableNormal5" w:customStyle="1">
    <w:name w:val="Table Normal"/>
    <w:tblPr>
      <w:tblCellMar>
        <w:top w:w="0.0" w:type="dxa"/>
        <w:left w:w="0.0" w:type="dxa"/>
        <w:bottom w:w="0.0" w:type="dxa"/>
        <w:right w:w="0.0" w:type="dxa"/>
      </w:tblCellMar>
    </w:tblPr>
  </w:style>
  <w:style w:type="table" w:styleId="TableNormal6" w:customStyle="1">
    <w:name w:val="Table Normal"/>
    <w:tblPr>
      <w:tblCellMar>
        <w:top w:w="0.0" w:type="dxa"/>
        <w:left w:w="0.0" w:type="dxa"/>
        <w:bottom w:w="0.0" w:type="dxa"/>
        <w:right w:w="0.0" w:type="dxa"/>
      </w:tblCellMar>
    </w:tblPr>
  </w:style>
  <w:style w:type="table" w:styleId="TableNormal7" w:customStyle="1">
    <w:name w:val="Table Normal"/>
    <w:tblPr>
      <w:tblCellMar>
        <w:top w:w="0.0" w:type="dxa"/>
        <w:left w:w="0.0" w:type="dxa"/>
        <w:bottom w:w="0.0" w:type="dxa"/>
        <w:right w:w="0.0" w:type="dxa"/>
      </w:tblCellMar>
    </w:tblPr>
  </w:style>
  <w:style w:type="table" w:styleId="TableNormal8" w:customStyle="1">
    <w:name w:val="Table Normal"/>
    <w:tblPr>
      <w:tblCellMar>
        <w:top w:w="0.0" w:type="dxa"/>
        <w:left w:w="0.0" w:type="dxa"/>
        <w:bottom w:w="0.0" w:type="dxa"/>
        <w:right w:w="0.0" w:type="dxa"/>
      </w:tblCellMar>
    </w:tblPr>
  </w:style>
  <w:style w:type="table" w:styleId="TableNormal9" w:customStyle="1">
    <w:name w:val="Table Normal"/>
    <w:tblPr>
      <w:tblCellMar>
        <w:top w:w="0.0" w:type="dxa"/>
        <w:left w:w="0.0" w:type="dxa"/>
        <w:bottom w:w="0.0" w:type="dxa"/>
        <w:right w:w="0.0" w:type="dxa"/>
      </w:tblCellMar>
    </w:tblPr>
  </w:style>
  <w:style w:type="table" w:styleId="TableNormala" w:customStyle="1">
    <w:name w:val="Table Normal"/>
    <w:tblPr>
      <w:tblCellMar>
        <w:top w:w="0.0" w:type="dxa"/>
        <w:left w:w="0.0" w:type="dxa"/>
        <w:bottom w:w="0.0" w:type="dxa"/>
        <w:right w:w="0.0" w:type="dxa"/>
      </w:tblCellMar>
    </w:tblPr>
  </w:style>
  <w:style w:type="table" w:styleId="TableNormalb" w:customStyle="1">
    <w:name w:val="Table Normal"/>
    <w:tblPr>
      <w:tblCellMar>
        <w:top w:w="0.0" w:type="dxa"/>
        <w:left w:w="0.0" w:type="dxa"/>
        <w:bottom w:w="0.0" w:type="dxa"/>
        <w:right w:w="0.0" w:type="dxa"/>
      </w:tblCellMar>
    </w:tblPr>
  </w:style>
  <w:style w:type="table" w:styleId="TableNormalc" w:customStyle="1">
    <w:name w:val="Table Normal"/>
    <w:tblPr>
      <w:tblCellMar>
        <w:top w:w="0.0" w:type="dxa"/>
        <w:left w:w="0.0" w:type="dxa"/>
        <w:bottom w:w="0.0" w:type="dxa"/>
        <w:right w:w="0.0" w:type="dxa"/>
      </w:tblCellMar>
    </w:tblPr>
  </w:style>
  <w:style w:type="table" w:styleId="TableNormald" w:customStyle="1">
    <w:name w:val="Table Normal"/>
    <w:tblPr>
      <w:tblCellMar>
        <w:top w:w="0.0" w:type="dxa"/>
        <w:left w:w="0.0" w:type="dxa"/>
        <w:bottom w:w="0.0" w:type="dxa"/>
        <w:right w:w="0.0" w:type="dxa"/>
      </w:tblCellMar>
    </w:tblPr>
  </w:style>
  <w:style w:type="table" w:styleId="TableNormale" w:customStyle="1">
    <w:name w:val="Table Normal"/>
    <w:tblPr>
      <w:tblCellMar>
        <w:top w:w="0.0" w:type="dxa"/>
        <w:left w:w="0.0" w:type="dxa"/>
        <w:bottom w:w="0.0" w:type="dxa"/>
        <w:right w:w="0.0" w:type="dxa"/>
      </w:tblCellMar>
    </w:tblPr>
  </w:style>
  <w:style w:type="character" w:styleId="Hipervnculo">
    <w:name w:val="Hyperlink"/>
    <w:rPr>
      <w:u w:val="single"/>
    </w:rPr>
  </w:style>
  <w:style w:type="table" w:styleId="TableNormalf" w:customStyle="1">
    <w:name w:val="Table Normal"/>
    <w:tblPr>
      <w:tblInd w:w="0.0" w:type="dxa"/>
      <w:tblCellMar>
        <w:top w:w="0.0" w:type="dxa"/>
        <w:left w:w="0.0" w:type="dxa"/>
        <w:bottom w:w="0.0" w:type="dxa"/>
        <w:right w:w="0.0" w:type="dxa"/>
      </w:tblCellMar>
    </w:tblPr>
  </w:style>
  <w:style w:type="paragraph" w:styleId="Cabeceraypie" w:customStyle="1">
    <w:name w:val="Cabecera y pie"/>
    <w:pPr>
      <w:tabs>
        <w:tab w:val="right" w:pos="9020"/>
      </w:tabs>
    </w:pPr>
    <w:rPr>
      <w:rFonts w:ascii="Arial" w:cs="Arial Unicode MS" w:hAnsi="Arial"/>
      <w:color w:val="3a7ab2"/>
      <w:sz w:val="28"/>
      <w:szCs w:val="28"/>
    </w:rPr>
  </w:style>
  <w:style w:type="paragraph" w:styleId="Cuerpo" w:customStyle="1">
    <w:name w:val="Cuerpo"/>
    <w:rPr>
      <w:rFonts w:ascii="Helvetica Neue" w:cs="Helvetica Neue" w:eastAsia="Helvetica Neue" w:hAnsi="Helvetica Neue"/>
      <w:color w:val="000000"/>
      <w:sz w:val="22"/>
      <w:szCs w:val="22"/>
    </w:rPr>
  </w:style>
  <w:style w:type="paragraph" w:styleId="Cuerpo-Blue" w:customStyle="1">
    <w:name w:val="Cuerpo - Blue"/>
    <w:pPr>
      <w:jc w:val="both"/>
    </w:pPr>
    <w:rPr>
      <w:rFonts w:ascii="Arial" w:cs="Arial Unicode MS" w:hAnsi="Arial"/>
      <w:color w:val="3a7ab2"/>
      <w:u w:color="27aae1"/>
    </w:rPr>
  </w:style>
  <w:style w:type="character" w:styleId="Ninguno" w:customStyle="1">
    <w:name w:val="Ninguno"/>
    <w:rPr>
      <w:lang w:val="es-ES_tradnl"/>
    </w:rPr>
  </w:style>
  <w:style w:type="paragraph" w:styleId="Destacado" w:customStyle="1">
    <w:name w:val="Destacado"/>
    <w:pPr>
      <w:spacing w:line="288" w:lineRule="auto"/>
    </w:pPr>
    <w:rPr>
      <w:rFonts w:ascii="Arial" w:cs="Arial Unicode MS" w:hAnsi="Arial"/>
      <w:color w:val="3a7ab2"/>
      <w:sz w:val="32"/>
      <w:szCs w:val="32"/>
      <w:u w:color="000000"/>
    </w:rPr>
  </w:style>
  <w:style w:type="character" w:styleId="Enlace" w:customStyle="1">
    <w:name w:val="Enlace"/>
    <w:rPr>
      <w:u w:val="single"/>
    </w:rPr>
  </w:style>
  <w:style w:type="character" w:styleId="Hyperlink0" w:customStyle="1">
    <w:name w:val="Hyperlink.0"/>
    <w:basedOn w:val="Enlace"/>
    <w:rPr>
      <w:color w:val="3a7ab2"/>
      <w:sz w:val="20"/>
      <w:szCs w:val="20"/>
      <w:u w:color="0000ff" w:val="single"/>
    </w:rPr>
  </w:style>
  <w:style w:type="character" w:styleId="Hyperlink1" w:customStyle="1">
    <w:name w:val="Hyperlink.1"/>
    <w:basedOn w:val="Ninguno"/>
    <w:rPr>
      <w:rFonts w:ascii="Arial" w:cs="Arial" w:eastAsia="Arial" w:hAnsi="Arial"/>
      <w:color w:val="0000ff"/>
      <w:sz w:val="18"/>
      <w:szCs w:val="18"/>
      <w:u w:color="0000ff" w:val="single"/>
      <w:lang w:val="es-ES_tradnl"/>
    </w:rPr>
  </w:style>
  <w:style w:type="paragraph" w:styleId="Textodeglobo">
    <w:name w:val="Balloon Text"/>
    <w:basedOn w:val="Normal"/>
    <w:link w:val="TextodegloboCar"/>
    <w:uiPriority w:val="99"/>
    <w:semiHidden w:val="1"/>
    <w:unhideWhenUsed w:val="1"/>
    <w:rsid w:val="00C506F7"/>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C506F7"/>
    <w:rPr>
      <w:rFonts w:ascii="Segoe UI" w:cs="Segoe UI" w:hAnsi="Segoe UI"/>
      <w:sz w:val="18"/>
      <w:szCs w:val="18"/>
      <w:lang w:eastAsia="en-US" w:val="en-US"/>
    </w:rPr>
  </w:style>
  <w:style w:type="character" w:styleId="SinespaciadoCar" w:customStyle="1">
    <w:name w:val="Sin espaciado Car"/>
    <w:link w:val="Sinespaciado"/>
    <w:uiPriority w:val="1"/>
    <w:locked w:val="1"/>
    <w:rsid w:val="00C506F7"/>
    <w:rPr>
      <w:rFonts w:ascii="Cambria" w:eastAsia="MS Mincho" w:hAnsi="Cambria"/>
      <w:sz w:val="24"/>
      <w:szCs w:val="24"/>
      <w:lang w:val="es-ES_tradnl"/>
    </w:rPr>
  </w:style>
  <w:style w:type="paragraph" w:styleId="Sinespaciado">
    <w:name w:val="No Spacing"/>
    <w:link w:val="SinespaciadoCar"/>
    <w:uiPriority w:val="1"/>
    <w:qFormat w:val="1"/>
    <w:rsid w:val="00C506F7"/>
    <w:rPr>
      <w:rFonts w:ascii="Cambria" w:eastAsia="MS Mincho" w:hAnsi="Cambria"/>
    </w:rPr>
  </w:style>
  <w:style w:type="paragraph" w:styleId="Encabezado">
    <w:name w:val="header"/>
    <w:basedOn w:val="Normal"/>
    <w:link w:val="EncabezadoCar"/>
    <w:uiPriority w:val="99"/>
    <w:unhideWhenUsed w:val="1"/>
    <w:rsid w:val="004843A3"/>
    <w:pPr>
      <w:tabs>
        <w:tab w:val="center" w:pos="4252"/>
        <w:tab w:val="right" w:pos="8504"/>
      </w:tabs>
    </w:pPr>
  </w:style>
  <w:style w:type="character" w:styleId="EncabezadoCar" w:customStyle="1">
    <w:name w:val="Encabezado Car"/>
    <w:basedOn w:val="Fuentedeprrafopredeter"/>
    <w:link w:val="Encabezado"/>
    <w:uiPriority w:val="99"/>
    <w:rsid w:val="004843A3"/>
    <w:rPr>
      <w:sz w:val="24"/>
      <w:szCs w:val="24"/>
      <w:lang w:eastAsia="en-US" w:val="en-US"/>
    </w:rPr>
  </w:style>
  <w:style w:type="paragraph" w:styleId="Piedepgina">
    <w:name w:val="footer"/>
    <w:basedOn w:val="Normal"/>
    <w:link w:val="PiedepginaCar"/>
    <w:uiPriority w:val="99"/>
    <w:unhideWhenUsed w:val="1"/>
    <w:rsid w:val="004843A3"/>
    <w:pPr>
      <w:tabs>
        <w:tab w:val="center" w:pos="4252"/>
        <w:tab w:val="right" w:pos="8504"/>
      </w:tabs>
    </w:pPr>
  </w:style>
  <w:style w:type="character" w:styleId="PiedepginaCar" w:customStyle="1">
    <w:name w:val="Pie de página Car"/>
    <w:basedOn w:val="Fuentedeprrafopredeter"/>
    <w:link w:val="Piedepgina"/>
    <w:uiPriority w:val="99"/>
    <w:rsid w:val="004843A3"/>
    <w:rPr>
      <w:sz w:val="24"/>
      <w:szCs w:val="24"/>
      <w:lang w:eastAsia="en-US" w:val="en-US"/>
    </w:rPr>
  </w:style>
  <w:style w:type="paragraph" w:styleId="Prrafodelista">
    <w:name w:val="List Paragraph"/>
    <w:basedOn w:val="Normal"/>
    <w:uiPriority w:val="34"/>
    <w:qFormat w:val="1"/>
    <w:rsid w:val="004843A3"/>
    <w:pPr>
      <w:ind w:left="720"/>
      <w:contextualSpacing w:val="1"/>
    </w:pPr>
    <w:rPr>
      <w:lang w:eastAsia="es-ES"/>
    </w:rPr>
  </w:style>
  <w:style w:type="paragraph" w:styleId="IJTextonormal" w:customStyle="1">
    <w:name w:val="IJ Texto normal"/>
    <w:basedOn w:val="Normal"/>
    <w:link w:val="IJTextonormalCar"/>
    <w:autoRedefine w:val="1"/>
    <w:qFormat w:val="1"/>
    <w:rsid w:val="006B1E20"/>
    <w:pPr>
      <w:spacing w:line="360" w:lineRule="auto"/>
      <w:jc w:val="both"/>
    </w:pPr>
    <w:rPr>
      <w:rFonts w:ascii="Arial" w:cs="Arial" w:eastAsia="Calibri" w:hAnsi="Arial"/>
      <w:iCs w:val="1"/>
      <w:sz w:val="20"/>
      <w:szCs w:val="20"/>
      <w:shd w:color="auto" w:fill="ffffff" w:val="clear"/>
      <w:lang w:eastAsia="ar-SA" w:val="es-ES_tradnl"/>
    </w:rPr>
  </w:style>
  <w:style w:type="character" w:styleId="IJTextonormalCar" w:customStyle="1">
    <w:name w:val="IJ Texto normal Car"/>
    <w:basedOn w:val="Fuentedeprrafopredeter"/>
    <w:link w:val="IJTextonormal"/>
    <w:rsid w:val="006B1E20"/>
    <w:rPr>
      <w:rFonts w:ascii="Arial" w:cs="Arial" w:eastAsia="Calibri" w:hAnsi="Arial"/>
      <w:iCs w:val="1"/>
      <w:sz w:val="20"/>
      <w:szCs w:val="20"/>
      <w:lang w:eastAsia="ar-SA" w:val="es-ES_tradnl"/>
    </w:rPr>
  </w:style>
  <w:style w:type="character" w:styleId="Refdecomentario">
    <w:name w:val="annotation reference"/>
    <w:basedOn w:val="Fuentedeprrafopredeter"/>
    <w:uiPriority w:val="99"/>
    <w:semiHidden w:val="1"/>
    <w:unhideWhenUsed w:val="1"/>
    <w:rsid w:val="007078D1"/>
    <w:rPr>
      <w:sz w:val="16"/>
      <w:szCs w:val="16"/>
    </w:rPr>
  </w:style>
  <w:style w:type="paragraph" w:styleId="Textocomentario">
    <w:name w:val="annotation text"/>
    <w:basedOn w:val="Normal"/>
    <w:link w:val="TextocomentarioCar"/>
    <w:uiPriority w:val="99"/>
    <w:semiHidden w:val="1"/>
    <w:unhideWhenUsed w:val="1"/>
    <w:rsid w:val="007078D1"/>
    <w:rPr>
      <w:sz w:val="20"/>
      <w:szCs w:val="20"/>
    </w:rPr>
  </w:style>
  <w:style w:type="character" w:styleId="TextocomentarioCar" w:customStyle="1">
    <w:name w:val="Texto comentario Car"/>
    <w:basedOn w:val="Fuentedeprrafopredeter"/>
    <w:link w:val="Textocomentario"/>
    <w:uiPriority w:val="99"/>
    <w:semiHidden w:val="1"/>
    <w:rsid w:val="007078D1"/>
    <w:rPr>
      <w:lang w:eastAsia="en-US" w:val="en-US"/>
    </w:rPr>
  </w:style>
  <w:style w:type="paragraph" w:styleId="Asuntodelcomentario">
    <w:name w:val="annotation subject"/>
    <w:basedOn w:val="Textocomentario"/>
    <w:next w:val="Textocomentario"/>
    <w:link w:val="AsuntodelcomentarioCar"/>
    <w:uiPriority w:val="99"/>
    <w:semiHidden w:val="1"/>
    <w:unhideWhenUsed w:val="1"/>
    <w:rsid w:val="007078D1"/>
    <w:rPr>
      <w:b w:val="1"/>
      <w:bCs w:val="1"/>
    </w:rPr>
  </w:style>
  <w:style w:type="character" w:styleId="AsuntodelcomentarioCar" w:customStyle="1">
    <w:name w:val="Asunto del comentario Car"/>
    <w:basedOn w:val="TextocomentarioCar"/>
    <w:link w:val="Asuntodelcomentario"/>
    <w:uiPriority w:val="99"/>
    <w:semiHidden w:val="1"/>
    <w:rsid w:val="007078D1"/>
    <w:rPr>
      <w:b w:val="1"/>
      <w:bCs w:val="1"/>
      <w:lang w:eastAsia="en-US" w:val="en-US"/>
    </w:rPr>
  </w:style>
  <w:style w:type="paragraph" w:styleId="NormalWeb">
    <w:name w:val="Normal (Web)"/>
    <w:basedOn w:val="Normal"/>
    <w:uiPriority w:val="99"/>
    <w:unhideWhenUsed w:val="1"/>
    <w:rsid w:val="00325B68"/>
    <w:pPr>
      <w:spacing w:after="100" w:afterAutospacing="1" w:before="100" w:beforeAutospacing="1"/>
    </w:pPr>
    <w:rPr>
      <w:lang w:eastAsia="es-ES"/>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Tablaconcuadrcula">
    <w:name w:val="Table Grid"/>
    <w:basedOn w:val="Tablanormal"/>
    <w:uiPriority w:val="39"/>
    <w:rsid w:val="00CD6A8D"/>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table" w:styleId="a" w:customStyle="1">
    <w:basedOn w:val="TableNormal9"/>
    <w:tblPr>
      <w:tblStyleRowBandSize w:val="1"/>
      <w:tblStyleColBandSize w:val="1"/>
      <w:tblCellMar>
        <w:left w:w="70.0" w:type="dxa"/>
        <w:right w:w="70.0" w:type="dxa"/>
      </w:tblCellMar>
    </w:tblPr>
  </w:style>
  <w:style w:type="table" w:styleId="a0" w:customStyle="1">
    <w:basedOn w:val="TableNormal8"/>
    <w:tblPr>
      <w:tblStyleRowBandSize w:val="1"/>
      <w:tblStyleColBandSize w:val="1"/>
      <w:tblCellMar>
        <w:left w:w="70.0" w:type="dxa"/>
        <w:right w:w="70.0" w:type="dxa"/>
      </w:tblCellMar>
    </w:tblPr>
  </w:style>
  <w:style w:type="character" w:styleId="Refdenotaalpie">
    <w:name w:val="footnote reference"/>
    <w:uiPriority w:val="99"/>
    <w:semiHidden w:val="1"/>
    <w:rsid w:val="003007DD"/>
    <w:rPr>
      <w:rFonts w:cs="Times New Roman"/>
      <w:vertAlign w:val="superscript"/>
    </w:rPr>
  </w:style>
  <w:style w:type="table" w:styleId="a1" w:customStyle="1">
    <w:basedOn w:val="TableNormal7"/>
    <w:tblPr>
      <w:tblStyleRowBandSize w:val="1"/>
      <w:tblStyleColBandSize w:val="1"/>
      <w:tblCellMar>
        <w:left w:w="70.0" w:type="dxa"/>
        <w:right w:w="70.0" w:type="dxa"/>
      </w:tblCellMar>
    </w:tblPr>
  </w:style>
  <w:style w:type="character" w:styleId="Textoennegrita">
    <w:name w:val="Strong"/>
    <w:basedOn w:val="Fuentedeprrafopredeter"/>
    <w:uiPriority w:val="22"/>
    <w:qFormat w:val="1"/>
    <w:rsid w:val="00A50628"/>
    <w:rPr>
      <w:b w:val="1"/>
      <w:bCs w:val="1"/>
    </w:rPr>
  </w:style>
  <w:style w:type="table" w:styleId="a2" w:customStyle="1">
    <w:basedOn w:val="TableNormal6"/>
    <w:tblPr>
      <w:tblStyleRowBandSize w:val="1"/>
      <w:tblStyleColBandSize w:val="1"/>
      <w:tblCellMar>
        <w:left w:w="70.0" w:type="dxa"/>
        <w:right w:w="70.0" w:type="dxa"/>
      </w:tblCellMar>
    </w:tblPr>
  </w:style>
  <w:style w:type="table" w:styleId="a3" w:customStyle="1">
    <w:basedOn w:val="TableNormal6"/>
    <w:tblPr>
      <w:tblStyleRowBandSize w:val="1"/>
      <w:tblStyleColBandSize w:val="1"/>
      <w:tblCellMar>
        <w:left w:w="70.0" w:type="dxa"/>
        <w:right w:w="70.0" w:type="dxa"/>
      </w:tblCellMar>
    </w:tblPr>
  </w:style>
  <w:style w:type="table" w:styleId="a4" w:customStyle="1">
    <w:basedOn w:val="TableNormal5"/>
    <w:tblPr>
      <w:tblStyleRowBandSize w:val="1"/>
      <w:tblStyleColBandSize w:val="1"/>
      <w:tblCellMar>
        <w:left w:w="70.0" w:type="dxa"/>
        <w:right w:w="70.0" w:type="dxa"/>
      </w:tblCellMar>
    </w:tblPr>
  </w:style>
  <w:style w:type="character" w:styleId="Mencinsinresolver1" w:customStyle="1">
    <w:name w:val="Mención sin resolver1"/>
    <w:basedOn w:val="Fuentedeprrafopredeter"/>
    <w:uiPriority w:val="99"/>
    <w:semiHidden w:val="1"/>
    <w:unhideWhenUsed w:val="1"/>
    <w:rsid w:val="00A77CC6"/>
    <w:rPr>
      <w:color w:val="605e5c"/>
      <w:shd w:color="auto" w:fill="e1dfdd" w:val="clear"/>
    </w:rPr>
  </w:style>
  <w:style w:type="table" w:styleId="a5" w:customStyle="1">
    <w:basedOn w:val="TableNormal4"/>
    <w:tblPr>
      <w:tblStyleRowBandSize w:val="1"/>
      <w:tblStyleColBandSize w:val="1"/>
      <w:tblCellMar>
        <w:left w:w="70.0" w:type="dxa"/>
        <w:right w:w="70.0" w:type="dxa"/>
      </w:tblCellMar>
    </w:tblPr>
  </w:style>
  <w:style w:type="table" w:styleId="a6" w:customStyle="1">
    <w:basedOn w:val="TableNormal4"/>
    <w:tblPr>
      <w:tblStyleRowBandSize w:val="1"/>
      <w:tblStyleColBandSize w:val="1"/>
      <w:tblCellMar>
        <w:left w:w="70.0" w:type="dxa"/>
        <w:right w:w="70.0" w:type="dxa"/>
      </w:tblCellMar>
    </w:tblPr>
  </w:style>
  <w:style w:type="table" w:styleId="a7" w:customStyle="1">
    <w:basedOn w:val="TableNormal3"/>
    <w:tblPr>
      <w:tblStyleRowBandSize w:val="1"/>
      <w:tblStyleColBandSize w:val="1"/>
      <w:tblCellMar>
        <w:left w:w="70.0" w:type="dxa"/>
        <w:right w:w="70.0" w:type="dxa"/>
      </w:tblCellMar>
    </w:tblPr>
  </w:style>
  <w:style w:type="table" w:styleId="a8" w:customStyle="1">
    <w:basedOn w:val="TableNormal3"/>
    <w:tblPr>
      <w:tblStyleRowBandSize w:val="1"/>
      <w:tblStyleColBandSize w:val="1"/>
      <w:tblCellMar>
        <w:left w:w="70.0" w:type="dxa"/>
        <w:right w:w="70.0" w:type="dxa"/>
      </w:tblCellMar>
    </w:tblPr>
  </w:style>
  <w:style w:type="table" w:styleId="a9" w:customStyle="1">
    <w:basedOn w:val="TableNormal2"/>
    <w:tblPr>
      <w:tblStyleRowBandSize w:val="1"/>
      <w:tblStyleColBandSize w:val="1"/>
      <w:tblCellMar>
        <w:left w:w="70.0" w:type="dxa"/>
        <w:right w:w="70.0" w:type="dxa"/>
      </w:tblCellMar>
    </w:tblPr>
  </w:style>
  <w:style w:type="table" w:styleId="aa" w:customStyle="1">
    <w:basedOn w:val="TableNormal2"/>
    <w:tblPr>
      <w:tblStyleRowBandSize w:val="1"/>
      <w:tblStyleColBandSize w:val="1"/>
      <w:tblCellMar>
        <w:left w:w="70.0" w:type="dxa"/>
        <w:right w:w="70.0" w:type="dxa"/>
      </w:tblCellMar>
    </w:tblPr>
  </w:style>
  <w:style w:type="table" w:styleId="ab" w:customStyle="1">
    <w:basedOn w:val="TableNormal1"/>
    <w:tblPr>
      <w:tblStyleRowBandSize w:val="1"/>
      <w:tblStyleColBandSize w:val="1"/>
      <w:tblCellMar>
        <w:left w:w="70.0" w:type="dxa"/>
        <w:right w:w="70.0" w:type="dxa"/>
      </w:tblCellMar>
    </w:tblPr>
  </w:style>
  <w:style w:type="table" w:styleId="ac" w:customStyle="1">
    <w:basedOn w:val="TableNormal1"/>
    <w:tblPr>
      <w:tblStyleRowBandSize w:val="1"/>
      <w:tblStyleColBandSize w:val="1"/>
      <w:tblCellMar>
        <w:left w:w="70.0" w:type="dxa"/>
        <w:right w:w="70.0" w:type="dxa"/>
      </w:tblCellMar>
    </w:tblPr>
  </w:style>
  <w:style w:type="table" w:styleId="ad" w:customStyle="1">
    <w:basedOn w:val="TableNormal0"/>
    <w:tblPr>
      <w:tblStyleRowBandSize w:val="1"/>
      <w:tblStyleColBandSize w:val="1"/>
      <w:tblCellMar>
        <w:left w:w="70.0" w:type="dxa"/>
        <w:right w:w="70.0" w:type="dxa"/>
      </w:tblCellMar>
    </w:tblPr>
  </w:style>
  <w:style w:type="table" w:styleId="ae" w:customStyle="1">
    <w:basedOn w:val="TableNormal0"/>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22" Type="http://schemas.openxmlformats.org/officeDocument/2006/relationships/header" Target="header2.xml"/><Relationship Id="rId21" Type="http://schemas.openxmlformats.org/officeDocument/2006/relationships/header" Target="header3.xml"/><Relationship Id="rId24" Type="http://schemas.openxmlformats.org/officeDocument/2006/relationships/footer" Target="footer2.xm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osotros.infojobs.net/prensa/indicadores-infojobs" TargetMode="External"/><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infojobs.net/" TargetMode="External"/><Relationship Id="rId8" Type="http://schemas.openxmlformats.org/officeDocument/2006/relationships/hyperlink" Target="https://nosotros.infojobs.net/prensa/indicadores-infojobs" TargetMode="External"/><Relationship Id="rId11" Type="http://schemas.openxmlformats.org/officeDocument/2006/relationships/hyperlink" Target="https://www.fotocasa.es/es/" TargetMode="External"/><Relationship Id="rId10" Type="http://schemas.openxmlformats.org/officeDocument/2006/relationships/hyperlink" Target="https://nosotros.infojobs.net/prensa/indicadores-infojobs" TargetMode="External"/><Relationship Id="rId13" Type="http://schemas.openxmlformats.org/officeDocument/2006/relationships/hyperlink" Target="https://www.infojobs.net/" TargetMode="External"/><Relationship Id="rId12" Type="http://schemas.openxmlformats.org/officeDocument/2006/relationships/hyperlink" Target="https://www.habitaclia.com/" TargetMode="External"/><Relationship Id="rId15" Type="http://schemas.openxmlformats.org/officeDocument/2006/relationships/hyperlink" Target="https://motos.coches.net/" TargetMode="External"/><Relationship Id="rId14" Type="http://schemas.openxmlformats.org/officeDocument/2006/relationships/hyperlink" Target="https://www.coches.net/" TargetMode="External"/><Relationship Id="rId17" Type="http://schemas.openxmlformats.org/officeDocument/2006/relationships/hyperlink" Target="https://www.adevinta.com/es/spain/" TargetMode="External"/><Relationship Id="rId16" Type="http://schemas.openxmlformats.org/officeDocument/2006/relationships/hyperlink" Target="https://www.milanuncios.com/" TargetMode="External"/><Relationship Id="rId19" Type="http://schemas.openxmlformats.org/officeDocument/2006/relationships/hyperlink" Target="mailto:infojobs@evercom.es" TargetMode="External"/><Relationship Id="rId18" Type="http://schemas.openxmlformats.org/officeDocument/2006/relationships/hyperlink" Target="mailto:prensa@infojobs.ne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IZS6JFtj4zp+1HYlmHFnOYOH5A==">AMUW2mVtUJMOSttBsBr5smEJTxX1+1snGKN7j9OIk625EjGZDaF05ENGX+/od16RJIQipzCECQAQB8ZsTw0ByJeGxjN32DzV1jMosp9DI2yaQX89a2aibvRbnOhuJRfotgwYlC06CYDyLcmblRIwCC2PEKAFryGahL3xObDWYbobuYFS80O/l4DcXwtMalrPjbMREhe6TGHf9sBEji6+Oi4Vszc+5WyCGi8n43a8a3akspkjHd0XYsU2rM8ujq2jKX/UtICt6SdY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2021-06-04T09:29:00Z</dcterms:created>
  <dc:creator>Sara Rius</dc:creator>
</cp:coreProperties>
</file>