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36D4A" w:rsidRDefault="00936D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00000002" w14:textId="77777777" w:rsidR="00936D4A" w:rsidRDefault="00936D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2"/>
          <w:szCs w:val="22"/>
          <w:u w:val="single"/>
        </w:rPr>
      </w:pPr>
    </w:p>
    <w:p w14:paraId="00000003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28"/>
          <w:szCs w:val="28"/>
          <w:u w:val="single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La falta de desconexión digital se dispara</w:t>
      </w:r>
    </w:p>
    <w:p w14:paraId="00000004" w14:textId="77777777" w:rsidR="00936D4A" w:rsidRDefault="00936D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00000005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>El 82% de los trabajadores españoles responden llamadas o emails fuera del horario laboral</w:t>
      </w:r>
    </w:p>
    <w:p w14:paraId="00000006" w14:textId="77777777" w:rsidR="00936D4A" w:rsidRDefault="00936D4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yellow"/>
        </w:rPr>
      </w:pPr>
    </w:p>
    <w:p w14:paraId="00000007" w14:textId="77777777" w:rsidR="00936D4A" w:rsidRDefault="00EC28C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Antes de la llegada de la pandemia, este porcentaje era del 63%, mientras que en junio de 2020 rozaba el 70%.</w:t>
      </w:r>
      <w:r>
        <w:rPr>
          <w:rFonts w:ascii="Arial" w:eastAsia="Arial" w:hAnsi="Arial" w:cs="Arial"/>
          <w:sz w:val="20"/>
          <w:szCs w:val="20"/>
        </w:rPr>
        <w:t xml:space="preserve"> Además, el 74% de los trabajadores no consigue desconectar tampoco durante las vacaciones de verano.</w:t>
      </w:r>
    </w:p>
    <w:p w14:paraId="00000008" w14:textId="77777777" w:rsidR="00936D4A" w:rsidRDefault="00EC28C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 de cada 10 empresas en España reconoce no l</w:t>
      </w:r>
      <w:r>
        <w:rPr>
          <w:rFonts w:ascii="Arial" w:eastAsia="Arial" w:hAnsi="Arial" w:cs="Arial"/>
          <w:color w:val="000000"/>
          <w:sz w:val="20"/>
          <w:szCs w:val="20"/>
        </w:rPr>
        <w:t>levar a cabo ninguna medida para fomentar la desconexión digital de sus empleados</w:t>
      </w:r>
    </w:p>
    <w:p w14:paraId="00000009" w14:textId="77777777" w:rsidR="00936D4A" w:rsidRDefault="00EC28C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mujeres (61%) son las que más achacan la falta de desconexión al teletrabajo</w:t>
      </w:r>
    </w:p>
    <w:p w14:paraId="0000000A" w14:textId="77777777" w:rsidR="00936D4A" w:rsidRDefault="00EC28C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Comunidad Valenciana y Andalucía son las dos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omunidades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utónomas que menos ‘desconectan dig</w:t>
      </w:r>
      <w:r>
        <w:rPr>
          <w:rFonts w:ascii="Arial" w:eastAsia="Arial" w:hAnsi="Arial" w:cs="Arial"/>
          <w:color w:val="000000"/>
          <w:sz w:val="20"/>
          <w:szCs w:val="20"/>
        </w:rPr>
        <w:t>italmente’ en términos laborales</w:t>
      </w:r>
    </w:p>
    <w:p w14:paraId="0000000B" w14:textId="77777777" w:rsidR="00936D4A" w:rsidRDefault="00936D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0000000C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22 de junio de 2021</w:t>
      </w:r>
      <w:r>
        <w:t>.</w:t>
      </w:r>
      <w:r>
        <w:rPr>
          <w:rFonts w:ascii="Arial" w:eastAsia="Arial" w:hAnsi="Arial" w:cs="Arial"/>
          <w:sz w:val="20"/>
          <w:szCs w:val="20"/>
        </w:rPr>
        <w:t xml:space="preserve"> En 2018, año de la entrada en vigor de la Ley Orgánica de Protección de Datos Personales y garantía de los derechos digitales, el 51% de los trabajadores españoles contestaba llamadas o correos electrónicos fuera del horario laboral. Aún con esta regulaci</w:t>
      </w:r>
      <w:r>
        <w:rPr>
          <w:rFonts w:ascii="Arial" w:eastAsia="Arial" w:hAnsi="Arial" w:cs="Arial"/>
          <w:sz w:val="20"/>
          <w:szCs w:val="20"/>
        </w:rPr>
        <w:t xml:space="preserve">ón, que establece que el profesional no está obligado a contestar </w:t>
      </w:r>
      <w:r>
        <w:rPr>
          <w:rFonts w:ascii="Arial" w:eastAsia="Arial" w:hAnsi="Arial" w:cs="Arial"/>
          <w:i/>
          <w:sz w:val="20"/>
          <w:szCs w:val="20"/>
        </w:rPr>
        <w:t>WhatsApps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emails</w:t>
      </w:r>
      <w:r>
        <w:rPr>
          <w:rFonts w:ascii="Arial" w:eastAsia="Arial" w:hAnsi="Arial" w:cs="Arial"/>
          <w:sz w:val="20"/>
          <w:szCs w:val="20"/>
        </w:rPr>
        <w:t xml:space="preserve"> o llamadas más allá de su jornada de trabajo, el porcentaje de trabajadores españoles que indica no desconectar digitalmente ha crecido en los últimos dos años. </w:t>
      </w:r>
      <w:r>
        <w:rPr>
          <w:rFonts w:ascii="Arial" w:eastAsia="Arial" w:hAnsi="Arial" w:cs="Arial"/>
          <w:b/>
          <w:sz w:val="20"/>
          <w:szCs w:val="20"/>
        </w:rPr>
        <w:t>La irrupció</w:t>
      </w:r>
      <w:r>
        <w:rPr>
          <w:rFonts w:ascii="Arial" w:eastAsia="Arial" w:hAnsi="Arial" w:cs="Arial"/>
          <w:b/>
          <w:sz w:val="20"/>
          <w:szCs w:val="20"/>
        </w:rPr>
        <w:t>n de la pandemia y la implementación del teletrabajo han contribuido a disparar la falta de desconexión digital en el ámbito laboral.</w:t>
      </w:r>
    </w:p>
    <w:p w14:paraId="0000000D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E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Así lo demuestra el último </w:t>
      </w:r>
      <w:r>
        <w:rPr>
          <w:rFonts w:ascii="Arial" w:eastAsia="Arial" w:hAnsi="Arial" w:cs="Arial"/>
          <w:b/>
          <w:sz w:val="20"/>
          <w:szCs w:val="20"/>
        </w:rPr>
        <w:t>Informe sobre Desconexión Digital de InfoJobs</w:t>
      </w:r>
      <w:r>
        <w:rPr>
          <w:rFonts w:ascii="Arial" w:eastAsia="Arial" w:hAnsi="Arial" w:cs="Arial"/>
          <w:sz w:val="20"/>
          <w:szCs w:val="20"/>
        </w:rPr>
        <w:t>, que señala que el 82% de los trabajadores españ</w:t>
      </w:r>
      <w:r>
        <w:rPr>
          <w:rFonts w:ascii="Arial" w:eastAsia="Arial" w:hAnsi="Arial" w:cs="Arial"/>
          <w:sz w:val="20"/>
          <w:szCs w:val="20"/>
        </w:rPr>
        <w:t>oles responden llamadas o emails fuera del horario laboral. En febrero de 2020, antes de la llegada de la pandemia, este porcentaje era del 63%, mientras que en junio de 2020 rozaba el 70%. Sin embargo, desde entonces, el dato se ha incrementado drásticame</w:t>
      </w:r>
      <w:r>
        <w:rPr>
          <w:rFonts w:ascii="Arial" w:eastAsia="Arial" w:hAnsi="Arial" w:cs="Arial"/>
          <w:sz w:val="20"/>
          <w:szCs w:val="20"/>
        </w:rPr>
        <w:t xml:space="preserve">nte. </w:t>
      </w:r>
    </w:p>
    <w:p w14:paraId="0000000F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2B8133CF" w:rsidR="00936D4A" w:rsidRDefault="00EC28C5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llegada del verano y el comienzo del periodo vacacional deberían contribuir a priori a facilitar la desconexión digital</w:t>
      </w:r>
      <w:r>
        <w:rPr>
          <w:rFonts w:ascii="Arial" w:eastAsia="Arial" w:hAnsi="Arial" w:cs="Arial"/>
          <w:sz w:val="20"/>
          <w:szCs w:val="20"/>
        </w:rPr>
        <w:t xml:space="preserve">. Sin embargo, los datos de este estudio indican que </w:t>
      </w:r>
      <w:r>
        <w:rPr>
          <w:rFonts w:ascii="Arial" w:eastAsia="Arial" w:hAnsi="Arial" w:cs="Arial"/>
          <w:b/>
          <w:sz w:val="20"/>
          <w:szCs w:val="20"/>
        </w:rPr>
        <w:t>el 74% de los trabajadores españoles responde también llamadas o correos d</w:t>
      </w:r>
      <w:r>
        <w:rPr>
          <w:rFonts w:ascii="Arial" w:eastAsia="Arial" w:hAnsi="Arial" w:cs="Arial"/>
          <w:b/>
          <w:sz w:val="20"/>
          <w:szCs w:val="20"/>
        </w:rPr>
        <w:t>urante las vacaciones.</w:t>
      </w:r>
    </w:p>
    <w:p w14:paraId="16AD5FBF" w14:textId="143EEA2C" w:rsidR="00CA5DD1" w:rsidRDefault="00CA5DD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CAA4DE9" w14:textId="29C2730E" w:rsidR="00CA5DD1" w:rsidRDefault="00CA5DD1" w:rsidP="00CA5DD1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5C987F5" wp14:editId="6F8A5A98">
            <wp:extent cx="5295900" cy="3390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1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EBC8BF" w:rsidR="00936D4A" w:rsidRDefault="00EC2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 xml:space="preserve">“Las circunstancias laborales derivadas de la pandemia han </w:t>
      </w:r>
      <w:r>
        <w:rPr>
          <w:rFonts w:ascii="Arial" w:eastAsia="Arial" w:hAnsi="Arial" w:cs="Arial"/>
          <w:i/>
          <w:sz w:val="20"/>
          <w:szCs w:val="20"/>
        </w:rPr>
        <w:t xml:space="preserve">supuesto un cambio importante </w:t>
      </w:r>
      <w:r>
        <w:rPr>
          <w:rFonts w:ascii="Arial" w:eastAsia="Arial" w:hAnsi="Arial" w:cs="Arial"/>
          <w:i/>
          <w:color w:val="000000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la vida profesional y </w:t>
      </w:r>
      <w:r>
        <w:rPr>
          <w:rFonts w:ascii="Arial" w:eastAsia="Arial" w:hAnsi="Arial" w:cs="Arial"/>
          <w:i/>
          <w:sz w:val="20"/>
          <w:szCs w:val="20"/>
        </w:rPr>
        <w:t>familiar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de </w:t>
      </w:r>
      <w:r>
        <w:rPr>
          <w:rFonts w:ascii="Arial" w:eastAsia="Arial" w:hAnsi="Arial" w:cs="Arial"/>
          <w:i/>
          <w:sz w:val="20"/>
          <w:szCs w:val="20"/>
        </w:rPr>
        <w:t>buena parte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de la población activa, influyendo en aspectos tan fundamentales como lo es la necesidad de d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esconectar del trabajo”, señala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Mónica Pérez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directora de Comunicación de InfoJobs</w:t>
      </w:r>
      <w:r>
        <w:rPr>
          <w:rFonts w:ascii="Arial" w:eastAsia="Arial" w:hAnsi="Arial" w:cs="Arial"/>
          <w:i/>
          <w:color w:val="000000"/>
          <w:sz w:val="20"/>
          <w:szCs w:val="20"/>
        </w:rPr>
        <w:t>. “En este sentido, la solución al problema actual no pasa únicamente por revisar la regulación existente y establecer nuevos mecanismos de control, sino también por el impulso de un cambio de mentalidad dentro de las empresas”</w:t>
      </w:r>
      <w:r>
        <w:rPr>
          <w:rFonts w:ascii="Arial" w:eastAsia="Arial" w:hAnsi="Arial" w:cs="Arial"/>
          <w:i/>
          <w:sz w:val="20"/>
          <w:szCs w:val="20"/>
        </w:rPr>
        <w:t xml:space="preserve">.  </w:t>
      </w:r>
    </w:p>
    <w:p w14:paraId="00000013" w14:textId="77777777" w:rsidR="00936D4A" w:rsidRDefault="00936D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14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 es que, tal y como arr</w:t>
      </w:r>
      <w:r>
        <w:rPr>
          <w:rFonts w:ascii="Arial" w:eastAsia="Arial" w:hAnsi="Arial" w:cs="Arial"/>
          <w:sz w:val="20"/>
          <w:szCs w:val="20"/>
        </w:rPr>
        <w:t xml:space="preserve">ojan los datos de este estudio, </w:t>
      </w:r>
      <w:r>
        <w:rPr>
          <w:rFonts w:ascii="Arial" w:eastAsia="Arial" w:hAnsi="Arial" w:cs="Arial"/>
          <w:b/>
          <w:color w:val="000000"/>
          <w:sz w:val="20"/>
          <w:szCs w:val="20"/>
        </w:rPr>
        <w:t>6 de cada 10 compañías en España reconoce no llevar a cabo ninguna medida para fomentar la desconexión digital de sus empleados</w:t>
      </w:r>
      <w:r>
        <w:rPr>
          <w:rFonts w:ascii="Arial" w:eastAsia="Arial" w:hAnsi="Arial" w:cs="Arial"/>
          <w:color w:val="000000"/>
          <w:sz w:val="20"/>
          <w:szCs w:val="20"/>
        </w:rPr>
        <w:t>, más allá de puntuales acuerdos con los empleados y responsables. Por sectores, las compañías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sector primario y secundario (75%) son las que menos medidas toman para fomentar la desconexión digital  </w:t>
      </w:r>
    </w:p>
    <w:p w14:paraId="00000015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0000016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“Me siento en la obligación de responder”</w:t>
      </w:r>
    </w:p>
    <w:p w14:paraId="00000017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lo que se refiere a los motivos que indican los trabajadores españoles para responder correos y llama</w:t>
      </w:r>
      <w:r>
        <w:rPr>
          <w:rFonts w:ascii="Arial" w:eastAsia="Arial" w:hAnsi="Arial" w:cs="Arial"/>
          <w:sz w:val="20"/>
          <w:szCs w:val="20"/>
        </w:rPr>
        <w:t xml:space="preserve">das fuera del horario, casi 1 de cada 2 señala que no desconecta porque se siente en la obligación de responder, mientras que el 36% afirma que su puesto de trabajo así lo requiere. A estas dos razones le seguiría la necesidad de estar al día de todo, con </w:t>
      </w:r>
      <w:r>
        <w:rPr>
          <w:rFonts w:ascii="Arial" w:eastAsia="Arial" w:hAnsi="Arial" w:cs="Arial"/>
          <w:sz w:val="20"/>
          <w:szCs w:val="20"/>
        </w:rPr>
        <w:t xml:space="preserve">un 20% de las menciones. Además, solo 1 de cada 5 empleados afirma no desconectar por el que, en principio, debería ser el motivo más común: terminar asuntos pendientes que se han de resolver. </w:t>
      </w:r>
    </w:p>
    <w:p w14:paraId="00000018" w14:textId="77777777" w:rsidR="00936D4A" w:rsidRDefault="00EC28C5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>
            <wp:extent cx="4538345" cy="5190917"/>
            <wp:effectExtent l="0" t="0" r="0" b="0"/>
            <wp:docPr id="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10984" t="5821" r="11988" b="7502"/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5190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9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A mayor responsabilidad, menor capacidad de desconexión</w:t>
      </w:r>
    </w:p>
    <w:p w14:paraId="0000001B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datos del informe de InfoJobs reflejan también que cuanto mayor es la responsabilidad y el nivel laboral de los profesionales, con más frecuencia se ven obligados a responder llamadas y correos fu</w:t>
      </w:r>
      <w:r>
        <w:rPr>
          <w:rFonts w:ascii="Arial" w:eastAsia="Arial" w:hAnsi="Arial" w:cs="Arial"/>
          <w:sz w:val="20"/>
          <w:szCs w:val="20"/>
        </w:rPr>
        <w:t xml:space="preserve">era del horario laboral. Así, hasta el 93% de los directivos/gerentes en España afirman llevar a cabo esta práctica, </w:t>
      </w:r>
      <w:r>
        <w:rPr>
          <w:rFonts w:ascii="Arial" w:eastAsia="Arial" w:hAnsi="Arial" w:cs="Arial"/>
          <w:sz w:val="20"/>
          <w:szCs w:val="20"/>
        </w:rPr>
        <w:lastRenderedPageBreak/>
        <w:t>mientras que, en el caso de los mandos intermedios, este porcentaje desciende al 89%. Finalmente, en lo que se refiere a los especialistas,</w:t>
      </w:r>
      <w:r>
        <w:rPr>
          <w:rFonts w:ascii="Arial" w:eastAsia="Arial" w:hAnsi="Arial" w:cs="Arial"/>
          <w:sz w:val="20"/>
          <w:szCs w:val="20"/>
        </w:rPr>
        <w:t xml:space="preserve"> las menciones alcanzan el 79%.</w:t>
      </w:r>
    </w:p>
    <w:p w14:paraId="0000001C" w14:textId="77777777" w:rsidR="00936D4A" w:rsidRDefault="00EC28C5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>
            <wp:extent cx="3787709" cy="4155544"/>
            <wp:effectExtent l="0" t="0" r="0" b="0"/>
            <wp:docPr id="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l="10243" t="4896" r="9533" b="4629"/>
                    <a:stretch>
                      <a:fillRect/>
                    </a:stretch>
                  </pic:blipFill>
                  <pic:spPr>
                    <a:xfrm>
                      <a:off x="0" y="0"/>
                      <a:ext cx="3787709" cy="4155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D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La regulación por convenio y las guardias remuneradas, las medidas más populares para hacer frente a la falta de desconexión digital</w:t>
      </w:r>
    </w:p>
    <w:p w14:paraId="0000001E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la hora de ser preguntados por las principales soluciones al problema de la desconexión digital, el 40% de los trabajadores españoles aboga por establecer un convenio laboral que incluya el derecho a no atender el móvil y el correo fuera del horario de t</w:t>
      </w:r>
      <w:r>
        <w:rPr>
          <w:rFonts w:ascii="Arial" w:eastAsia="Arial" w:hAnsi="Arial" w:cs="Arial"/>
          <w:sz w:val="20"/>
          <w:szCs w:val="20"/>
        </w:rPr>
        <w:t>rabajo. A esta medida le seguiría la creación de un sistema de guardias remuneradas para las vacaciones y los fines de semana con el fin de que el resto de los profesionales pueda descansar (36%).</w:t>
      </w:r>
    </w:p>
    <w:p w14:paraId="0000001F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sz w:val="20"/>
          <w:szCs w:val="20"/>
        </w:rPr>
        <w:t>continuación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aparece la posibilidad de llegar a un conse</w:t>
      </w:r>
      <w:r>
        <w:rPr>
          <w:rFonts w:ascii="Arial" w:eastAsia="Arial" w:hAnsi="Arial" w:cs="Arial"/>
          <w:sz w:val="20"/>
          <w:szCs w:val="20"/>
        </w:rPr>
        <w:t xml:space="preserve">nso con los responsables para desconectar en vacaciones (30%), el establecimiento de acuerdos con las empresas de telefonía para acordar tiempos de no uso de la mensajería y el móvil (15%), y el diseño de un sistema de alertas que avise al empleado cuando </w:t>
      </w:r>
      <w:r>
        <w:rPr>
          <w:rFonts w:ascii="Arial" w:eastAsia="Arial" w:hAnsi="Arial" w:cs="Arial"/>
          <w:sz w:val="20"/>
          <w:szCs w:val="20"/>
        </w:rPr>
        <w:t>éste haya efectuado más de dos conexiones fuera de horario (13%).</w:t>
      </w:r>
    </w:p>
    <w:p w14:paraId="00000021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2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este sentido, los trabajadores más jóvenes (16-34 años) son los que reivindican en mayor medida (45%) la regulación por convenio o la creación de un sistema de guardias remuneradas (37,5</w:t>
      </w:r>
      <w:r>
        <w:rPr>
          <w:rFonts w:ascii="Arial" w:eastAsia="Arial" w:hAnsi="Arial" w:cs="Arial"/>
          <w:sz w:val="20"/>
          <w:szCs w:val="20"/>
        </w:rPr>
        <w:t>%).</w:t>
      </w:r>
    </w:p>
    <w:p w14:paraId="00000023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Las mujeres, las que más acusan la falta de desconexión debido al teletrabajo</w:t>
      </w:r>
    </w:p>
    <w:p w14:paraId="00000025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Aunque el principal motivo de falta de desconexión al que aluden los trabajadores españoles es el utilizar sus dispositivos personales para temas de trabajo (58%), casi 6 de</w:t>
      </w:r>
      <w:r>
        <w:rPr>
          <w:rFonts w:ascii="Arial" w:eastAsia="Arial" w:hAnsi="Arial" w:cs="Arial"/>
          <w:sz w:val="20"/>
          <w:szCs w:val="20"/>
        </w:rPr>
        <w:t xml:space="preserve"> cada 10 (57%) señala que la necesidad de trabajar desde casa con motivo de las restricciones ha dificultado la desconexión digital. Aquí destaca especialmente la diferencia que se aprecia entre hombres y mujeres. Así, mientras el 54% de ellos mencionan es</w:t>
      </w:r>
      <w:r>
        <w:rPr>
          <w:rFonts w:ascii="Arial" w:eastAsia="Arial" w:hAnsi="Arial" w:cs="Arial"/>
          <w:sz w:val="20"/>
          <w:szCs w:val="20"/>
        </w:rPr>
        <w:t xml:space="preserve">te punto, en el caso de ellas las menciones ascienden al 61%, convirtiéndose en la principal causa de la falta de desconexión. </w:t>
      </w:r>
    </w:p>
    <w:p w14:paraId="00000026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Valencianos y andaluces, los que menos desconectan digitalmente de su trabajo</w:t>
      </w:r>
    </w:p>
    <w:p w14:paraId="00000028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comunidad autónomas, los trabajadores de Comu</w:t>
      </w:r>
      <w:r>
        <w:rPr>
          <w:rFonts w:ascii="Arial" w:eastAsia="Arial" w:hAnsi="Arial" w:cs="Arial"/>
          <w:sz w:val="20"/>
          <w:szCs w:val="20"/>
        </w:rPr>
        <w:t>nidad Valenciana y Andalucía son los que en mayor proporción indican que tienen dificultades para desconectar digitalmente de su trabajo (87%), superando en cinco puntos porcentuales la media de España.</w:t>
      </w:r>
    </w:p>
    <w:p w14:paraId="00000029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A" w14:textId="77777777" w:rsidR="00936D4A" w:rsidRDefault="00EC28C5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otra parte, los madrileños son los que en mayor </w:t>
      </w:r>
      <w:r>
        <w:rPr>
          <w:rFonts w:ascii="Arial" w:eastAsia="Arial" w:hAnsi="Arial" w:cs="Arial"/>
          <w:sz w:val="20"/>
          <w:szCs w:val="20"/>
        </w:rPr>
        <w:t>medida (51%) señalan que se sienten obligados a contestar las llamadas o correos fuera del horario laboral, seguidos por los vascos (50%). Del mismo modo, los profesionales de la Comunidad de Madrid son los que más apuestan por la regulación por convenio l</w:t>
      </w:r>
      <w:r>
        <w:rPr>
          <w:rFonts w:ascii="Arial" w:eastAsia="Arial" w:hAnsi="Arial" w:cs="Arial"/>
          <w:sz w:val="20"/>
          <w:szCs w:val="20"/>
        </w:rPr>
        <w:t>aboral como principal medida para acabar con la falta de desconexión digital (47%).</w:t>
      </w:r>
    </w:p>
    <w:p w14:paraId="0000002B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C" w14:textId="77777777" w:rsidR="00936D4A" w:rsidRDefault="00936D4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D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i/>
          <w:color w:val="2088C2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2088C2"/>
          <w:sz w:val="20"/>
          <w:szCs w:val="20"/>
        </w:rPr>
        <w:t>Nota metodológica informe:</w:t>
      </w:r>
    </w:p>
    <w:p w14:paraId="0000002E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Los datos de empresas han sido extraídos mediante la realización de encuestas online autoadministradas (CAWI) a través de la base de datos de InfoJobs con un cuestionario estructurado de una duración aproximada de 10 minutos. La muestra ha sido de 768 empr</w:t>
      </w:r>
      <w:r>
        <w:rPr>
          <w:rFonts w:ascii="Arial" w:eastAsia="Arial" w:hAnsi="Arial" w:cs="Arial"/>
          <w:i/>
          <w:sz w:val="16"/>
          <w:szCs w:val="16"/>
        </w:rPr>
        <w:t xml:space="preserve">esas y el margen de error es de +/- 3,5 % para un intervalo de confianza del 95 %. </w:t>
      </w:r>
    </w:p>
    <w:p w14:paraId="0000002F" w14:textId="77777777" w:rsidR="00936D4A" w:rsidRDefault="00936D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6"/>
          <w:szCs w:val="16"/>
        </w:rPr>
      </w:pPr>
    </w:p>
    <w:p w14:paraId="00000030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Los datos de población activa también se han extraído con una encuesta online autoadministrada (CAWI) a través de un panel con un cuestionario estructurado de una duración</w:t>
      </w:r>
      <w:r>
        <w:rPr>
          <w:rFonts w:ascii="Arial" w:eastAsia="Arial" w:hAnsi="Arial" w:cs="Arial"/>
          <w:i/>
          <w:sz w:val="16"/>
          <w:szCs w:val="16"/>
        </w:rPr>
        <w:t xml:space="preserve"> aproximada de 15 minutos. La muestra ha sido de 4.742 panelistas que componen una distribución proporcional y representativa de la población nacional de 16 a 65 años y guiada por cuotas de sexo, edad y región y ocupación. El margen de error es de +/- 1,4%</w:t>
      </w:r>
      <w:r>
        <w:rPr>
          <w:rFonts w:ascii="Arial" w:eastAsia="Arial" w:hAnsi="Arial" w:cs="Arial"/>
          <w:i/>
          <w:sz w:val="16"/>
          <w:szCs w:val="16"/>
        </w:rPr>
        <w:t xml:space="preserve"> para un intervalo de confianza del 95%</w:t>
      </w:r>
    </w:p>
    <w:p w14:paraId="00000031" w14:textId="77777777" w:rsidR="00936D4A" w:rsidRDefault="00936D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0000032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Sobre InfoJobs</w:t>
      </w:r>
    </w:p>
    <w:p w14:paraId="00000033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1,5 millones de posiciones vacantes. Cuenta cada mes con 40 millones de visitas (más del 80% proceden de di</w:t>
      </w:r>
      <w:r>
        <w:rPr>
          <w:rFonts w:ascii="Arial" w:eastAsia="Arial" w:hAnsi="Arial" w:cs="Arial"/>
          <w:color w:val="808080"/>
          <w:sz w:val="16"/>
          <w:szCs w:val="16"/>
        </w:rPr>
        <w:t>spositivos móviles) y cerca de 6 millones de usuarios activos. (Fuente datos: Adobe Analytics Feb 2021).</w:t>
      </w:r>
    </w:p>
    <w:p w14:paraId="00000034" w14:textId="77777777" w:rsidR="00936D4A" w:rsidRDefault="00936D4A"/>
    <w:p w14:paraId="00000035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Adevinta, compañía líder en marketplaces digitales y una de las principales empresas del sector tecnológico del país, con más de </w:t>
      </w:r>
      <w:r>
        <w:rPr>
          <w:rFonts w:ascii="Arial" w:eastAsia="Arial" w:hAnsi="Arial" w:cs="Arial"/>
          <w:color w:val="808080"/>
          <w:sz w:val="16"/>
          <w:szCs w:val="16"/>
        </w:rPr>
        <w:t>18 millones de usuarios al mes en sus plataformas de los sectores inmobiliario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</w:t>
        </w:r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6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00000036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00000037" w14:textId="77777777" w:rsidR="00936D4A" w:rsidRDefault="00EC28C5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Adevinta tiene presenci</w:t>
      </w:r>
      <w:r>
        <w:rPr>
          <w:rFonts w:ascii="Arial" w:eastAsia="Arial" w:hAnsi="Arial" w:cs="Arial"/>
          <w:color w:val="808080"/>
          <w:sz w:val="16"/>
          <w:szCs w:val="16"/>
        </w:rPr>
        <w:t>a en 11 países de Europa y América Latina. En España cuenta con una plantilla de 1.100 empleados, comprometidos con fomentar un cambio positivo en el mundo a través de tecnología innovadora, otorgando una nueva oportunidad a quienes la están buscando y dan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do a las cosas una segunda vida. El conjunto de sus plataformas locales recibe un promedio de 1.300 millones de visitas cada mes. Más información en </w:t>
      </w:r>
      <w:hyperlink r:id="rId17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00000038" w14:textId="77777777" w:rsidR="00936D4A" w:rsidRDefault="00936D4A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</w:p>
    <w:p w14:paraId="00000039" w14:textId="77777777" w:rsidR="00936D4A" w:rsidRDefault="00EC28C5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0000003A" w14:textId="77777777" w:rsidR="00936D4A" w:rsidRDefault="00EC28C5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0000003B" w14:textId="77777777" w:rsidR="00936D4A" w:rsidRDefault="00EC2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proofErr w:type="gramEnd"/>
      <w:r>
        <w:rPr>
          <w:rFonts w:ascii="Arial" w:eastAsia="Arial" w:hAnsi="Arial" w:cs="Arial"/>
          <w:color w:val="808080"/>
          <w:sz w:val="18"/>
          <w:szCs w:val="18"/>
        </w:rPr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Pablo Gutiérrez / Albert Cuesta</w:t>
      </w:r>
    </w:p>
    <w:p w14:paraId="0000003C" w14:textId="77777777" w:rsidR="00936D4A" w:rsidRDefault="00EC28C5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8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9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0000003D" w14:textId="77777777" w:rsidR="00936D4A" w:rsidRDefault="00EC28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936D4A">
      <w:headerReference w:type="default" r:id="rId20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E39E" w14:textId="77777777" w:rsidR="00000000" w:rsidRDefault="00EC28C5">
      <w:r>
        <w:separator/>
      </w:r>
    </w:p>
  </w:endnote>
  <w:endnote w:type="continuationSeparator" w:id="0">
    <w:p w14:paraId="0FEFE630" w14:textId="77777777" w:rsidR="00000000" w:rsidRDefault="00E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9BAE" w14:textId="77777777" w:rsidR="00000000" w:rsidRDefault="00EC28C5">
      <w:r>
        <w:separator/>
      </w:r>
    </w:p>
  </w:footnote>
  <w:footnote w:type="continuationSeparator" w:id="0">
    <w:p w14:paraId="55A8E5A4" w14:textId="77777777" w:rsidR="00000000" w:rsidRDefault="00EC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936D4A" w:rsidRDefault="00EC2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>
          <wp:extent cx="972902" cy="246830"/>
          <wp:effectExtent l="0" t="0" r="0" b="0"/>
          <wp:docPr id="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rFonts w:ascii="Arial" w:eastAsia="Arial" w:hAnsi="Arial" w:cs="Arial"/>
        <w:color w:val="3A7AB2"/>
        <w:sz w:val="28"/>
        <w:szCs w:val="28"/>
      </w:rPr>
      <w:tab/>
    </w:r>
    <w:r>
      <w:rPr>
        <w:rFonts w:ascii="Arial" w:eastAsia="Arial" w:hAnsi="Arial" w:cs="Arial"/>
        <w:color w:val="666666"/>
      </w:rPr>
      <w:t xml:space="preserve">              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column">
            <wp:posOffset>5505450</wp:posOffset>
          </wp:positionH>
          <wp:positionV relativeFrom="paragraph">
            <wp:posOffset>-447655</wp:posOffset>
          </wp:positionV>
          <wp:extent cx="720001" cy="720001"/>
          <wp:effectExtent l="0" t="0" r="0" b="0"/>
          <wp:wrapSquare wrapText="bothSides" distT="152400" distB="152400" distL="152400" distR="152400"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F0218"/>
    <w:multiLevelType w:val="multilevel"/>
    <w:tmpl w:val="1ABE5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4A"/>
    <w:rsid w:val="00936D4A"/>
    <w:rsid w:val="00CA5DD1"/>
    <w:rsid w:val="00E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3B56"/>
  <w15:docId w15:val="{25B2D528-D489-413E-8609-AA3FFE6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qFormat/>
    <w:rsid w:val="00A97D9F"/>
    <w:pPr>
      <w:ind w:left="720"/>
      <w:contextualSpacing/>
    </w:pPr>
  </w:style>
  <w:style w:type="character" w:styleId="Refdecomentario">
    <w:name w:val="annotation reference"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qFormat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A7D"/>
  </w:style>
  <w:style w:type="paragraph" w:styleId="Piedepgina">
    <w:name w:val="footer"/>
    <w:basedOn w:val="Normal"/>
    <w:link w:val="Piedepgina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326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56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mailto:prensa@infojob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abitaclia.com/" TargetMode="External"/><Relationship Id="rId17" Type="http://schemas.openxmlformats.org/officeDocument/2006/relationships/hyperlink" Target="https://www.adevinta.com/es/sp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anuncios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tos.coches.net/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jobs@everco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ches.ne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r6gOGTHmEtdlxICtTIW7drO2w==">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Pablo Gutiérrez</cp:lastModifiedBy>
  <cp:revision>2</cp:revision>
  <dcterms:created xsi:type="dcterms:W3CDTF">2020-11-05T16:22:00Z</dcterms:created>
  <dcterms:modified xsi:type="dcterms:W3CDTF">2021-06-22T08:55:00Z</dcterms:modified>
</cp:coreProperties>
</file>