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8062A5" w14:textId="77777777" w:rsidR="00ED3EA8" w:rsidRDefault="00ED3E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69552D67" w14:textId="77777777" w:rsidR="00ED3EA8" w:rsidRDefault="00ED3E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22"/>
          <w:szCs w:val="22"/>
          <w:u w:val="single"/>
        </w:rPr>
      </w:pPr>
    </w:p>
    <w:p w14:paraId="03BBC3FB" w14:textId="77777777" w:rsidR="00ED3EA8" w:rsidRDefault="00A140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70C0"/>
          <w:sz w:val="22"/>
          <w:szCs w:val="22"/>
          <w:u w:val="single"/>
        </w:rPr>
        <w:t>Decoding Global Talent 2021</w:t>
      </w:r>
    </w:p>
    <w:p w14:paraId="555A1573" w14:textId="77777777" w:rsidR="00ED3EA8" w:rsidRDefault="00ED3E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14:paraId="7BF5CF7D" w14:textId="77777777" w:rsidR="00ED3EA8" w:rsidRDefault="00A140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 xml:space="preserve">El 75% de los trabajadores españoles estaría dispuesto a adquirir otras habilidades diferentes a las de su puesto </w:t>
      </w:r>
    </w:p>
    <w:p w14:paraId="2025F223" w14:textId="77777777" w:rsidR="00ED3EA8" w:rsidRDefault="00ED3EA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highlight w:val="yellow"/>
        </w:rPr>
      </w:pPr>
    </w:p>
    <w:p w14:paraId="6AC6E8C7" w14:textId="77777777" w:rsidR="00ED3EA8" w:rsidRDefault="00A1405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 cualquier caso, el 73% de los españoles afirma que ya dedica un tiempo significativo a formarse.</w:t>
      </w:r>
    </w:p>
    <w:p w14:paraId="6BDCFFBE" w14:textId="77777777" w:rsidR="00ED3EA8" w:rsidRDefault="00A1405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jóvenes de entre 21 y 30 años son lo</w:t>
      </w:r>
      <w:r>
        <w:rPr>
          <w:rFonts w:ascii="Arial" w:eastAsia="Arial" w:hAnsi="Arial" w:cs="Arial"/>
          <w:color w:val="000000"/>
          <w:sz w:val="20"/>
          <w:szCs w:val="20"/>
        </w:rPr>
        <w:t>s que más tiempo dedican a formarse a día de hoy (80%)</w:t>
      </w:r>
    </w:p>
    <w:p w14:paraId="184C1A21" w14:textId="77777777" w:rsidR="00ED3EA8" w:rsidRDefault="00A1405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teletrabajo, impulsor de la internacionalización: el 55% de los profesionales afirma que trabajaría en remoto para una empresa ubicada en el extranjero</w:t>
      </w:r>
    </w:p>
    <w:p w14:paraId="3A933270" w14:textId="77777777" w:rsidR="00ED3EA8" w:rsidRDefault="00ED3E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2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3C02D358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27 de mayo de 2021</w:t>
      </w:r>
      <w: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La pandemia de la Covid-19 ha modificado en el último año los retos a los que tanto trabajadores como empresas han de enfrentarse en el escenario laboral. Así lo recoge el estudio </w:t>
      </w:r>
      <w:r>
        <w:rPr>
          <w:rFonts w:ascii="Arial" w:eastAsia="Arial" w:hAnsi="Arial" w:cs="Arial"/>
          <w:b/>
          <w:sz w:val="20"/>
          <w:szCs w:val="20"/>
        </w:rPr>
        <w:t>Decoding Global Talent 2021</w:t>
      </w:r>
      <w:r>
        <w:rPr>
          <w:rFonts w:ascii="Arial" w:eastAsia="Arial" w:hAnsi="Arial" w:cs="Arial"/>
          <w:sz w:val="20"/>
          <w:szCs w:val="20"/>
        </w:rPr>
        <w:t xml:space="preserve">, realizado </w:t>
      </w:r>
      <w:r w:rsidRPr="00A1405D">
        <w:rPr>
          <w:rFonts w:ascii="Arial" w:eastAsia="Arial" w:hAnsi="Arial" w:cs="Arial"/>
          <w:sz w:val="20"/>
          <w:szCs w:val="20"/>
        </w:rPr>
        <w:t xml:space="preserve">por </w:t>
      </w:r>
      <w:r w:rsidRPr="00A1405D">
        <w:rPr>
          <w:rFonts w:ascii="Arial" w:eastAsia="Trebuchet MS" w:hAnsi="Arial" w:cs="Arial"/>
          <w:b/>
          <w:sz w:val="20"/>
          <w:szCs w:val="20"/>
        </w:rPr>
        <w:t>Bosto</w:t>
      </w:r>
      <w:r w:rsidRPr="00A1405D">
        <w:rPr>
          <w:rFonts w:ascii="Arial" w:eastAsia="Trebuchet MS" w:hAnsi="Arial" w:cs="Arial"/>
          <w:b/>
          <w:sz w:val="20"/>
          <w:szCs w:val="20"/>
        </w:rPr>
        <w:t>n Consulting Group (BCG) en colaboración con InfoJobs en España como partner exclusivo de The Network</w:t>
      </w:r>
      <w:r w:rsidRPr="00A1405D">
        <w:rPr>
          <w:rFonts w:ascii="Arial" w:eastAsia="Arial" w:hAnsi="Arial" w:cs="Arial"/>
          <w:sz w:val="20"/>
          <w:szCs w:val="20"/>
        </w:rPr>
        <w:t xml:space="preserve">. </w:t>
      </w:r>
      <w:r w:rsidRPr="00A1405D">
        <w:rPr>
          <w:rFonts w:ascii="Arial" w:eastAsia="Arial" w:hAnsi="Arial" w:cs="Arial"/>
          <w:b/>
          <w:sz w:val="20"/>
          <w:szCs w:val="20"/>
        </w:rPr>
        <w:t>Decoding Global Talent 2021</w:t>
      </w:r>
      <w:r w:rsidRPr="00A1405D">
        <w:rPr>
          <w:rFonts w:ascii="Arial" w:eastAsia="Arial" w:hAnsi="Arial" w:cs="Arial"/>
          <w:sz w:val="20"/>
          <w:szCs w:val="20"/>
        </w:rPr>
        <w:t xml:space="preserve"> recoge datos sobre cómo se deben enfrentar las empresas a la hora de ofrecer </w:t>
      </w:r>
      <w:r>
        <w:rPr>
          <w:rFonts w:ascii="Arial" w:eastAsia="Arial" w:hAnsi="Arial" w:cs="Arial"/>
          <w:sz w:val="20"/>
          <w:szCs w:val="20"/>
        </w:rPr>
        <w:t xml:space="preserve">empleo internacional, cómo tienen que adaptarse </w:t>
      </w:r>
      <w:r>
        <w:rPr>
          <w:rFonts w:ascii="Arial" w:eastAsia="Arial" w:hAnsi="Arial" w:cs="Arial"/>
          <w:sz w:val="20"/>
          <w:szCs w:val="20"/>
        </w:rPr>
        <w:t>a los nuevos modelos de trabajo a raíz de la COVID-19, y los cambios en las perspectivas y expectativas profesionales de las personas.</w:t>
      </w:r>
    </w:p>
    <w:p w14:paraId="5372BCF2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3C771EB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Uno de los principales retos que afrontan los empleados es la necesidad de adquirir nuevos conocimientos para adaptarse </w:t>
      </w:r>
      <w:r>
        <w:rPr>
          <w:rFonts w:ascii="Arial" w:eastAsia="Arial" w:hAnsi="Arial" w:cs="Arial"/>
          <w:sz w:val="20"/>
          <w:szCs w:val="20"/>
        </w:rPr>
        <w:t xml:space="preserve">a los cambios que la pandemia ha propiciado en el mundo del trabajo: el denominado </w:t>
      </w:r>
      <w:r>
        <w:rPr>
          <w:rFonts w:ascii="Arial" w:eastAsia="Arial" w:hAnsi="Arial" w:cs="Arial"/>
          <w:i/>
          <w:sz w:val="20"/>
          <w:szCs w:val="20"/>
        </w:rPr>
        <w:t>reskilling</w:t>
      </w:r>
      <w:r>
        <w:rPr>
          <w:rFonts w:ascii="Arial" w:eastAsia="Arial" w:hAnsi="Arial" w:cs="Arial"/>
          <w:sz w:val="20"/>
          <w:szCs w:val="20"/>
        </w:rPr>
        <w:t xml:space="preserve">. Así, el 75% de los trabajadores españoles estaría dispuesto a adquirir otras habilidades diferentes a las de su puesto actual. De hecho, los mayores porcentajes </w:t>
      </w:r>
      <w:r>
        <w:rPr>
          <w:rFonts w:ascii="Arial" w:eastAsia="Arial" w:hAnsi="Arial" w:cs="Arial"/>
          <w:sz w:val="20"/>
          <w:szCs w:val="20"/>
        </w:rPr>
        <w:t>en lo que se refiere a este aspecto se encuentran en el colectivo senior (cerca del 80% de los trabajadores de entre 41 y 60 años destaca la importancia de este proceso de formación), que tradicionalmente ha tenido siempre más dificultades para reinventars</w:t>
      </w:r>
      <w:r>
        <w:rPr>
          <w:rFonts w:ascii="Arial" w:eastAsia="Arial" w:hAnsi="Arial" w:cs="Arial"/>
          <w:sz w:val="20"/>
          <w:szCs w:val="20"/>
        </w:rPr>
        <w:t>e o, por ejemplo, adaptarse a las nuevas tecnologías.</w:t>
      </w:r>
    </w:p>
    <w:p w14:paraId="456A34B0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6742892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114300" distB="114300" distL="114300" distR="114300" wp14:anchorId="1F0EEB8F" wp14:editId="1A6F836D">
            <wp:extent cx="5940115" cy="2565400"/>
            <wp:effectExtent l="0" t="0" r="0" b="0"/>
            <wp:docPr id="7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256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451A59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3106960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sectores,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Atención al cliente (86%), Ventas (83%), Management (82%) y el Sector Servicios (80%) serían aquellos que advierten con mayor urgencia la importancia de llevar a cabo este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reskilling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7A765B0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BF4DFC3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“Apostar por el talento senior aporta valor añadido a cualquier empresa, permitiendo que ésta se beneficie de la experiencia y conocimientos que reúne cualquier profesional de más de 45 años”</w:t>
      </w:r>
      <w:r>
        <w:rPr>
          <w:rFonts w:ascii="Arial" w:eastAsia="Arial" w:hAnsi="Arial" w:cs="Arial"/>
          <w:sz w:val="20"/>
          <w:szCs w:val="20"/>
        </w:rPr>
        <w:t xml:space="preserve">, señala Mónica Pérez, directora de Comunicación de InfoJobs. </w:t>
      </w:r>
      <w:r>
        <w:rPr>
          <w:rFonts w:ascii="Arial" w:eastAsia="Arial" w:hAnsi="Arial" w:cs="Arial"/>
          <w:i/>
          <w:sz w:val="20"/>
          <w:szCs w:val="20"/>
        </w:rPr>
        <w:t>“E</w:t>
      </w:r>
      <w:r>
        <w:rPr>
          <w:rFonts w:ascii="Arial" w:eastAsia="Arial" w:hAnsi="Arial" w:cs="Arial"/>
          <w:i/>
          <w:sz w:val="20"/>
          <w:szCs w:val="20"/>
        </w:rPr>
        <w:t xml:space="preserve">l problema sin embargo reside en que, muchas veces, las empresas no son capaces de garantizar a estos profesionales la formación y las herramientas </w:t>
      </w:r>
      <w:r>
        <w:rPr>
          <w:rFonts w:ascii="Arial" w:eastAsia="Arial" w:hAnsi="Arial" w:cs="Arial"/>
          <w:i/>
          <w:sz w:val="20"/>
          <w:szCs w:val="20"/>
        </w:rPr>
        <w:lastRenderedPageBreak/>
        <w:t>necesarias para emprender ese reskilling. De ahí la importancia, por ejemplo, del refuerzo de políticas orie</w:t>
      </w:r>
      <w:r>
        <w:rPr>
          <w:rFonts w:ascii="Arial" w:eastAsia="Arial" w:hAnsi="Arial" w:cs="Arial"/>
          <w:i/>
          <w:sz w:val="20"/>
          <w:szCs w:val="20"/>
        </w:rPr>
        <w:t>ntadas a la sostenibilidad y la Agenda 2030 que apoyen a las empresas que contraten a este colectivo”</w:t>
      </w:r>
    </w:p>
    <w:p w14:paraId="6C3918F9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5800031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Los trabajadores españoles, concienciados con la importancia de la formación</w:t>
      </w:r>
    </w:p>
    <w:p w14:paraId="7A943BD4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23C820AA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 cualquier caso, el 73% de los españoles afirma que ya dedica un tiempo significativo a formarse. En este punto, el dato más elevado lo encontramos entre los jóvenes de 21 a 30 años: 8 de cada 10 indica que se esfuerza en adquirir conocimientos de manera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constante. En lo que se refiere a las vías que emplean los españoles para formarse, la autoformación -principal vía en 2018 (64%)- cae al tercer lugar, con un 47% de las menciones; mientras que la formación mediante cursos online impartidos por institucio</w:t>
      </w:r>
      <w:r>
        <w:rPr>
          <w:rFonts w:ascii="Arial" w:eastAsia="Arial" w:hAnsi="Arial" w:cs="Arial"/>
          <w:color w:val="000000"/>
          <w:sz w:val="20"/>
          <w:szCs w:val="20"/>
        </w:rPr>
        <w:t>nes educativas se convierte el principal camino escogido por los profesionales (54%) -en 2018 ocupaba la 2ª posición (40%)-, seguida de la formación en el propio lugar de trabajo (51%).</w:t>
      </w:r>
    </w:p>
    <w:p w14:paraId="4F99DBEB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C96AF1F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Por puesto de trabajo, los profesionales dedicados a la asistencia so</w:t>
      </w:r>
      <w:r>
        <w:rPr>
          <w:rFonts w:ascii="Arial" w:eastAsia="Arial" w:hAnsi="Arial" w:cs="Arial"/>
          <w:color w:val="000000"/>
          <w:sz w:val="20"/>
          <w:szCs w:val="20"/>
        </w:rPr>
        <w:t>cial (90%), la digitalización y automatización (84%) y las artes y la creatividad (82%) serían los que más se están formando.</w:t>
      </w:r>
    </w:p>
    <w:p w14:paraId="1BC90F8E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668585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El teletrabajo impulsa la internacionalización…</w:t>
      </w:r>
    </w:p>
    <w:p w14:paraId="771CE501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A8A3F37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Tal y como indican los datos del estudio, solo el 34% de los españoles vería con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buenos ojos la posibilidad de trabajar en el extranjero, sobre todo en Alemania, Reino Unido o Francia, que ocupan, en este orden, las tres primeras posiciones en el ránking nacional. En el último informe de 2018, Estados Unidos, Alemania y Reino Unido fu</w:t>
      </w:r>
      <w:r>
        <w:rPr>
          <w:rFonts w:ascii="Arial" w:eastAsia="Arial" w:hAnsi="Arial" w:cs="Arial"/>
          <w:color w:val="000000"/>
          <w:sz w:val="20"/>
          <w:szCs w:val="20"/>
        </w:rPr>
        <w:t>eron los tres destinos seleccionados por los trabajadores españoles. En este sentido la diferencia con la media internacional y con el dato nacional de 2018 es de dieciséis puntos porcentuales por debajo. Si bien es cierto que el porcentaje sube hasta el 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9% cuando hablamos de los jóvenes de menos de 30 años, o hasta el 45% cuando nos referimos a personas con altos niveles de estudios. </w:t>
      </w:r>
    </w:p>
    <w:p w14:paraId="14A7F188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9E9AC00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114300" distB="114300" distL="114300" distR="114300" wp14:anchorId="4311A219" wp14:editId="16846716">
            <wp:extent cx="5940115" cy="2425700"/>
            <wp:effectExtent l="0" t="0" r="0" b="0"/>
            <wp:docPr id="7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783B50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388588E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Sin embargo, la entrada del teletrabajo en la ecuación modifica el resultado. Así, el 55% de los españoles estaría dispuesto a trabajar en remoto para una empresa extranjera, siendo Reino Unido, Alemania y Estados Unidos los países preferidos por los españ</w:t>
      </w:r>
      <w:r>
        <w:rPr>
          <w:rFonts w:ascii="Arial" w:eastAsia="Arial" w:hAnsi="Arial" w:cs="Arial"/>
          <w:color w:val="000000"/>
          <w:sz w:val="20"/>
          <w:szCs w:val="20"/>
        </w:rPr>
        <w:t>oles en este caso. Por el lado contrario, México, Chile y Portugal son los tres principales destinos que mencionan a España como una de las mejores opciones de cara al empleo en remoto.</w:t>
      </w:r>
    </w:p>
    <w:p w14:paraId="50BA4063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444F919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Por puesto de trabajo, Management (58%), Estudiantes (52%), Consultor</w:t>
      </w:r>
      <w:r>
        <w:rPr>
          <w:rFonts w:ascii="Arial" w:eastAsia="Arial" w:hAnsi="Arial" w:cs="Arial"/>
          <w:color w:val="000000"/>
          <w:sz w:val="20"/>
          <w:szCs w:val="20"/>
        </w:rPr>
        <w:t>ía (48%) Legal (44%), Digitalización y automatización (42%) y Salud y medicina (41%) serían los que mayor predisposición tendrían a la hora de trabajar fuera de España.</w:t>
      </w:r>
    </w:p>
    <w:p w14:paraId="3514F379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FCD360E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E9FB3C3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lastRenderedPageBreak/>
        <w:t>… pero dificulta las relaciones con los compañeros de trabajo</w:t>
      </w:r>
    </w:p>
    <w:p w14:paraId="4FC049A2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1ED5A731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la hora de ser pregu</w:t>
      </w:r>
      <w:r>
        <w:rPr>
          <w:rFonts w:ascii="Arial" w:eastAsia="Arial" w:hAnsi="Arial" w:cs="Arial"/>
          <w:color w:val="000000"/>
          <w:sz w:val="20"/>
          <w:szCs w:val="20"/>
        </w:rPr>
        <w:t>ntados por sus principales prioridades en lo que respecta al trabajo, la relación con los compañeros ha pasado a convertirse en el requisito nº 1 de los profesionales españoles, cuando en 2018 ocupaba el puesto nº 2. Como era de esperar, otra de las subida</w:t>
      </w:r>
      <w:r>
        <w:rPr>
          <w:rFonts w:ascii="Arial" w:eastAsia="Arial" w:hAnsi="Arial" w:cs="Arial"/>
          <w:color w:val="000000"/>
          <w:sz w:val="20"/>
          <w:szCs w:val="20"/>
        </w:rPr>
        <w:t>s más destacadas es la que hace referencia a la seguridad del puesto de trabajo, que pasa a ser la 3ª en la lista de preferencias de los empleados españoles. Sin embargo, la subida más destacada tiene que ver con las opciones de desarrollo profesional dent</w:t>
      </w:r>
      <w:r>
        <w:rPr>
          <w:rFonts w:ascii="Arial" w:eastAsia="Arial" w:hAnsi="Arial" w:cs="Arial"/>
          <w:color w:val="000000"/>
          <w:sz w:val="20"/>
          <w:szCs w:val="20"/>
        </w:rPr>
        <w:t>ro del puesto de trabajo o la empresa, que avanza desde el 8ª puesto al 4º.</w:t>
      </w:r>
    </w:p>
    <w:p w14:paraId="057BC664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7697A8" w14:textId="77777777" w:rsidR="00ED3EA8" w:rsidRDefault="00A1405D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Estos datos concuerdan con los comunicados por InfoJobs en su último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Informe sobre Teletrabajo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. De hecho, en ambos estudios, los profesionales encuestados coinciden a la hora de apostar por el formato híbrido como principal modelo laboral tras la pandemia.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59</w:t>
      </w:r>
      <w:r>
        <w:rPr>
          <w:rFonts w:ascii="Arial" w:eastAsia="Arial" w:hAnsi="Arial" w:cs="Arial"/>
          <w:color w:val="000000"/>
          <w:sz w:val="20"/>
          <w:szCs w:val="20"/>
        </w:rPr>
        <w:t>% de los participantes en el Decoding Global Talent 2021 mencionan este formato que, además, solucionaría la problemática de la desvinculación emocional con el equipo de trabajo.  El 32% preferiría teletrabajar todos los días de la semana laboral, y sol</w:t>
      </w:r>
      <w:r>
        <w:rPr>
          <w:rFonts w:ascii="Arial" w:eastAsia="Arial" w:hAnsi="Arial" w:cs="Arial"/>
          <w:color w:val="000000"/>
          <w:sz w:val="20"/>
          <w:szCs w:val="20"/>
        </w:rPr>
        <w:t>o un 9% estaría a favor de retornar al modelo tradicional de trabajo en la oficina.</w:t>
      </w:r>
    </w:p>
    <w:p w14:paraId="78A5041C" w14:textId="77777777" w:rsidR="00ED3EA8" w:rsidRDefault="00ED3EA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D9B9E94" w14:textId="77777777" w:rsidR="00ED3EA8" w:rsidRDefault="00A1405D">
      <w:pPr>
        <w:jc w:val="both"/>
        <w:rPr>
          <w:rFonts w:ascii="Arial" w:eastAsia="Arial" w:hAnsi="Arial" w:cs="Arial"/>
          <w:color w:val="0070C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Accede al Informe completo </w:t>
      </w:r>
      <w:r>
        <w:rPr>
          <w:rFonts w:ascii="Arial" w:eastAsia="Arial" w:hAnsi="Arial" w:cs="Arial"/>
          <w:b/>
          <w:color w:val="0070C0"/>
          <w:sz w:val="18"/>
          <w:szCs w:val="18"/>
        </w:rPr>
        <w:t>Decoding Global Talent 2021</w:t>
      </w:r>
      <w:r>
        <w:rPr>
          <w:rFonts w:ascii="Arial" w:eastAsia="Arial" w:hAnsi="Arial" w:cs="Arial"/>
          <w:color w:val="0070C0"/>
          <w:sz w:val="18"/>
          <w:szCs w:val="18"/>
        </w:rPr>
        <w:t xml:space="preserve">: </w:t>
      </w:r>
    </w:p>
    <w:p w14:paraId="061F9013" w14:textId="77777777" w:rsidR="00ED3EA8" w:rsidRDefault="00ED3EA8">
      <w:pPr>
        <w:jc w:val="both"/>
        <w:rPr>
          <w:rFonts w:ascii="Arial" w:eastAsia="Arial" w:hAnsi="Arial" w:cs="Arial"/>
          <w:color w:val="0070C0"/>
          <w:sz w:val="18"/>
          <w:szCs w:val="18"/>
        </w:rPr>
      </w:pPr>
    </w:p>
    <w:p w14:paraId="03E6E992" w14:textId="77777777" w:rsidR="00ED3EA8" w:rsidRPr="00A1405D" w:rsidRDefault="00A1405D">
      <w:pPr>
        <w:jc w:val="both"/>
        <w:rPr>
          <w:rFonts w:ascii="Arial" w:eastAsia="Arial" w:hAnsi="Arial" w:cs="Arial"/>
          <w:color w:val="1155CC"/>
          <w:sz w:val="18"/>
          <w:szCs w:val="18"/>
          <w:u w:val="single"/>
          <w:lang w:val="en-US"/>
        </w:rPr>
      </w:pPr>
      <w:hyperlink r:id="rId11">
        <w:r w:rsidRPr="00A1405D">
          <w:rPr>
            <w:rFonts w:ascii="Arial" w:eastAsia="Arial" w:hAnsi="Arial" w:cs="Arial"/>
            <w:b/>
            <w:color w:val="1155CC"/>
            <w:sz w:val="18"/>
            <w:szCs w:val="18"/>
            <w:u w:val="single"/>
            <w:lang w:val="en-US"/>
          </w:rPr>
          <w:t>Decoding Global Reskilling and Career Paths</w:t>
        </w:r>
      </w:hyperlink>
    </w:p>
    <w:p w14:paraId="4C9B3026" w14:textId="77777777" w:rsidR="00ED3EA8" w:rsidRPr="00A1405D" w:rsidRDefault="00A1405D">
      <w:pPr>
        <w:jc w:val="both"/>
        <w:rPr>
          <w:rFonts w:ascii="Arial" w:eastAsia="Arial" w:hAnsi="Arial" w:cs="Arial"/>
          <w:color w:val="1155CC"/>
          <w:sz w:val="18"/>
          <w:szCs w:val="18"/>
          <w:u w:val="single"/>
          <w:lang w:val="en-US"/>
        </w:rPr>
      </w:pPr>
      <w:hyperlink r:id="rId12">
        <w:r w:rsidRPr="00A1405D">
          <w:rPr>
            <w:rFonts w:ascii="Arial" w:eastAsia="Arial" w:hAnsi="Arial" w:cs="Arial"/>
            <w:b/>
            <w:color w:val="1155CC"/>
            <w:sz w:val="18"/>
            <w:szCs w:val="18"/>
            <w:u w:val="single"/>
            <w:lang w:val="en-US"/>
          </w:rPr>
          <w:t>Decoding Global Ways of Working</w:t>
        </w:r>
      </w:hyperlink>
    </w:p>
    <w:p w14:paraId="7892FECA" w14:textId="77777777" w:rsidR="00ED3EA8" w:rsidRPr="00A1405D" w:rsidRDefault="00A1405D">
      <w:pPr>
        <w:jc w:val="both"/>
        <w:rPr>
          <w:rFonts w:ascii="Arial" w:eastAsia="Arial" w:hAnsi="Arial" w:cs="Arial"/>
          <w:b/>
          <w:sz w:val="46"/>
          <w:szCs w:val="46"/>
          <w:lang w:val="en-US"/>
        </w:rPr>
      </w:pPr>
      <w:hyperlink r:id="rId13">
        <w:r w:rsidRPr="00A1405D">
          <w:rPr>
            <w:rFonts w:ascii="Arial" w:eastAsia="Arial" w:hAnsi="Arial" w:cs="Arial"/>
            <w:b/>
            <w:color w:val="1155CC"/>
            <w:sz w:val="18"/>
            <w:szCs w:val="18"/>
            <w:u w:val="single"/>
            <w:lang w:val="en-US"/>
          </w:rPr>
          <w:t>Decoding Global Talent,</w:t>
        </w:r>
        <w:r w:rsidRPr="00A1405D">
          <w:rPr>
            <w:rFonts w:ascii="Arial" w:eastAsia="Arial" w:hAnsi="Arial" w:cs="Arial"/>
            <w:b/>
            <w:color w:val="1155CC"/>
            <w:sz w:val="18"/>
            <w:szCs w:val="18"/>
            <w:u w:val="single"/>
            <w:lang w:val="en-US"/>
          </w:rPr>
          <w:t xml:space="preserve"> Onsite and Virtual</w:t>
        </w:r>
      </w:hyperlink>
    </w:p>
    <w:p w14:paraId="3A45752F" w14:textId="77777777" w:rsidR="00ED3EA8" w:rsidRPr="00A1405D" w:rsidRDefault="00ED3EA8">
      <w:pPr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</w:p>
    <w:p w14:paraId="15AD51D6" w14:textId="77777777" w:rsidR="00ED3EA8" w:rsidRPr="00A1405D" w:rsidRDefault="00ED3EA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35293657" w14:textId="77777777" w:rsidR="00ED3EA8" w:rsidRDefault="00A140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i/>
          <w:color w:val="2088C2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</w:t>
      </w:r>
      <w:r>
        <w:rPr>
          <w:rFonts w:ascii="Calibri" w:eastAsia="Calibri" w:hAnsi="Calibri" w:cs="Calibri"/>
          <w:b/>
          <w:i/>
          <w:color w:val="2088C2"/>
          <w:sz w:val="20"/>
          <w:szCs w:val="20"/>
        </w:rPr>
        <w:t>Nota metodológica informe:</w:t>
      </w:r>
    </w:p>
    <w:p w14:paraId="091678E8" w14:textId="77777777" w:rsidR="00ED3EA8" w:rsidRDefault="00A140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El estudio Decoding Global Talent 2021, realizado entre octubre y principios de diciembre de 2020, refleja las opiniones de 209.000 participantes de 190 países sobre los retos ante los que trabajadores y empresas se encuentran actualmente. En el caso de Es</w:t>
      </w:r>
      <w:r>
        <w:rPr>
          <w:rFonts w:ascii="Arial" w:eastAsia="Arial" w:hAnsi="Arial" w:cs="Arial"/>
          <w:i/>
          <w:sz w:val="16"/>
          <w:szCs w:val="16"/>
        </w:rPr>
        <w:t>paña, la muestra incluye a un total de 8.403 panelistas.</w:t>
      </w:r>
    </w:p>
    <w:p w14:paraId="3E2912D4" w14:textId="77777777" w:rsidR="00ED3EA8" w:rsidRDefault="00ED3E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16"/>
          <w:szCs w:val="16"/>
          <w:highlight w:val="yellow"/>
        </w:rPr>
      </w:pPr>
    </w:p>
    <w:p w14:paraId="48C431D9" w14:textId="77777777" w:rsidR="00ED3EA8" w:rsidRDefault="00ED3E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14:paraId="29B91BB7" w14:textId="77777777" w:rsidR="00ED3EA8" w:rsidRDefault="00A140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808080"/>
          <w:sz w:val="16"/>
          <w:szCs w:val="16"/>
        </w:rPr>
      </w:pPr>
      <w:r>
        <w:rPr>
          <w:rFonts w:ascii="Arial" w:eastAsia="Arial" w:hAnsi="Arial" w:cs="Arial"/>
          <w:b/>
          <w:color w:val="808080"/>
          <w:sz w:val="16"/>
          <w:szCs w:val="16"/>
        </w:rPr>
        <w:t>Sobre InfoJobs</w:t>
      </w:r>
    </w:p>
    <w:p w14:paraId="3D68F2B4" w14:textId="77777777" w:rsidR="00ED3EA8" w:rsidRDefault="00A140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Plataforma líder en España para encontrar las mejores oportunidades profesionales y el mejor talento. En el último año, InfoJobs ha publicado más de 1,5 millones de posiciones vacantes. Cuenta cada mes con 40 millones de visitas (más del 80% proceden de di</w:t>
      </w:r>
      <w:r>
        <w:rPr>
          <w:rFonts w:ascii="Arial" w:eastAsia="Arial" w:hAnsi="Arial" w:cs="Arial"/>
          <w:color w:val="808080"/>
          <w:sz w:val="16"/>
          <w:szCs w:val="16"/>
        </w:rPr>
        <w:t>spositivos móviles) y cerca de 6 millones de usuarios activos. (Fuente datos: Adobe Analytics Feb 2021).</w:t>
      </w:r>
    </w:p>
    <w:p w14:paraId="7E33B835" w14:textId="77777777" w:rsidR="00ED3EA8" w:rsidRDefault="00ED3E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14:paraId="212EBAC6" w14:textId="77777777" w:rsidR="00ED3EA8" w:rsidRDefault="00A140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InfoJobs pertenece a Adevinta, compañía líder en marketplaces digitales y una de las principales empresas del sector tecnológico del país, con más de </w:t>
      </w:r>
      <w:r>
        <w:rPr>
          <w:rFonts w:ascii="Arial" w:eastAsia="Arial" w:hAnsi="Arial" w:cs="Arial"/>
          <w:color w:val="808080"/>
          <w:sz w:val="16"/>
          <w:szCs w:val="16"/>
        </w:rPr>
        <w:t>18 millones de usuarios al mes en sus plataformas de los sectores inmobiliario (</w:t>
      </w:r>
      <w:hyperlink r:id="rId14">
        <w:r>
          <w:rPr>
            <w:rFonts w:ascii="Arial" w:eastAsia="Arial" w:hAnsi="Arial" w:cs="Arial"/>
            <w:color w:val="808080"/>
            <w:sz w:val="16"/>
            <w:szCs w:val="16"/>
          </w:rPr>
          <w:t>Fotocasa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5">
        <w:r>
          <w:rPr>
            <w:rFonts w:ascii="Arial" w:eastAsia="Arial" w:hAnsi="Arial" w:cs="Arial"/>
            <w:color w:val="808080"/>
            <w:sz w:val="16"/>
            <w:szCs w:val="16"/>
          </w:rPr>
          <w:t>habitaclia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hyperlink r:id="rId16">
        <w:r>
          <w:rPr>
            <w:rFonts w:ascii="Arial" w:eastAsia="Arial" w:hAnsi="Arial" w:cs="Arial"/>
            <w:color w:val="808080"/>
            <w:sz w:val="16"/>
            <w:szCs w:val="16"/>
          </w:rPr>
          <w:t>InfoJobs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7">
        <w:r>
          <w:rPr>
            <w:rFonts w:ascii="Arial" w:eastAsia="Arial" w:hAnsi="Arial" w:cs="Arial"/>
            <w:color w:val="808080"/>
            <w:sz w:val="16"/>
            <w:szCs w:val="16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8">
        <w:r>
          <w:rPr>
            <w:rFonts w:ascii="Arial" w:eastAsia="Arial" w:hAnsi="Arial" w:cs="Arial"/>
            <w:color w:val="808080"/>
            <w:sz w:val="16"/>
            <w:szCs w:val="16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hyperlink r:id="rId19">
        <w:r>
          <w:rPr>
            <w:rFonts w:ascii="Arial" w:eastAsia="Arial" w:hAnsi="Arial" w:cs="Arial"/>
            <w:color w:val="808080"/>
            <w:sz w:val="16"/>
            <w:szCs w:val="16"/>
          </w:rPr>
          <w:t>Milanuncios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14:paraId="18BFF89A" w14:textId="77777777" w:rsidR="00ED3EA8" w:rsidRDefault="00A140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 </w:t>
      </w:r>
    </w:p>
    <w:p w14:paraId="17B0E80A" w14:textId="77777777" w:rsidR="00ED3EA8" w:rsidRDefault="00A140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Adevinta tiene pre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sencia en 11 países de Europa y América Latina. En España cuenta con una plantilla de 1.100 empleados, comprometidos con fomentar un cambio positivo en el mundo a través de tecnología innovadora, otorgando una nueva oportunidad a quienes la están buscando 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y dando a las cosas una segunda vida. El conjunto de sus plataformas locales recibe un promedio de 1.300 millones de visitas cada mes. Más información en </w:t>
      </w:r>
      <w:hyperlink r:id="rId20">
        <w:r>
          <w:rPr>
            <w:rFonts w:ascii="Arial" w:eastAsia="Arial" w:hAnsi="Arial" w:cs="Arial"/>
            <w:color w:val="808080"/>
            <w:sz w:val="16"/>
            <w:szCs w:val="16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14:paraId="78C29508" w14:textId="77777777" w:rsidR="00ED3EA8" w:rsidRDefault="00ED3E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14:paraId="5BDC4618" w14:textId="77777777" w:rsidR="00ED3EA8" w:rsidRDefault="00A1405D">
      <w:pPr>
        <w:spacing w:line="252" w:lineRule="auto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2C7A0007" w14:textId="77777777" w:rsidR="00ED3EA8" w:rsidRDefault="00A140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 xml:space="preserve">: Mónica Pérez </w:t>
      </w:r>
      <w:r>
        <w:rPr>
          <w:rFonts w:ascii="Arial" w:eastAsia="Arial" w:hAnsi="Arial" w:cs="Arial"/>
          <w:color w:val="7F7F7F"/>
          <w:sz w:val="18"/>
          <w:szCs w:val="18"/>
        </w:rPr>
        <w:t>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</w:r>
      <w:proofErr w:type="gramEnd"/>
      <w:r>
        <w:rPr>
          <w:rFonts w:ascii="Arial" w:eastAsia="Arial" w:hAnsi="Arial" w:cs="Arial"/>
          <w:color w:val="808080"/>
          <w:sz w:val="18"/>
          <w:szCs w:val="18"/>
        </w:rPr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>: Pablo Gutiérrez / Albert Cuesta</w:t>
      </w:r>
    </w:p>
    <w:p w14:paraId="5F5FE94D" w14:textId="77777777" w:rsidR="00ED3EA8" w:rsidRDefault="00A1405D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21">
        <w:r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22">
        <w:r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7D862A3A" w14:textId="77777777" w:rsidR="00ED3EA8" w:rsidRDefault="00A140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7F7F7F"/>
          <w:sz w:val="18"/>
          <w:szCs w:val="18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</w:p>
    <w:sectPr w:rsidR="00ED3EA8">
      <w:headerReference w:type="default" r:id="rId23"/>
      <w:pgSz w:w="11906" w:h="16838"/>
      <w:pgMar w:top="1134" w:right="1133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C850" w14:textId="77777777" w:rsidR="00000000" w:rsidRDefault="00A1405D">
      <w:r>
        <w:separator/>
      </w:r>
    </w:p>
  </w:endnote>
  <w:endnote w:type="continuationSeparator" w:id="0">
    <w:p w14:paraId="63C56010" w14:textId="77777777" w:rsidR="00000000" w:rsidRDefault="00A1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6DD6" w14:textId="77777777" w:rsidR="00000000" w:rsidRDefault="00A1405D">
      <w:r>
        <w:separator/>
      </w:r>
    </w:p>
  </w:footnote>
  <w:footnote w:type="continuationSeparator" w:id="0">
    <w:p w14:paraId="7FF65A3E" w14:textId="77777777" w:rsidR="00000000" w:rsidRDefault="00A1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CDB0" w14:textId="77777777" w:rsidR="00ED3EA8" w:rsidRDefault="00A140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3A7AB2"/>
        <w:sz w:val="32"/>
        <w:szCs w:val="32"/>
        <w:u w:val="single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inline distT="0" distB="0" distL="0" distR="0" wp14:anchorId="7EC6505D" wp14:editId="19060888">
          <wp:extent cx="972902" cy="246830"/>
          <wp:effectExtent l="0" t="0" r="0" b="0"/>
          <wp:docPr id="7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A7AB2"/>
        <w:sz w:val="28"/>
        <w:szCs w:val="28"/>
      </w:rPr>
      <w:t xml:space="preserve">  </w:t>
    </w:r>
    <w:r>
      <w:rPr>
        <w:rFonts w:ascii="Arial" w:eastAsia="Arial" w:hAnsi="Arial" w:cs="Arial"/>
        <w:color w:val="3A7AB2"/>
        <w:sz w:val="28"/>
        <w:szCs w:val="28"/>
      </w:rPr>
      <w:tab/>
    </w:r>
    <w:r>
      <w:rPr>
        <w:rFonts w:ascii="Arial" w:eastAsia="Arial" w:hAnsi="Arial" w:cs="Arial"/>
        <w:color w:val="666666"/>
      </w:rPr>
      <w:t xml:space="preserve">                </w:t>
    </w: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17820FEB" wp14:editId="73A95AEC">
          <wp:simplePos x="0" y="0"/>
          <wp:positionH relativeFrom="column">
            <wp:posOffset>5505450</wp:posOffset>
          </wp:positionH>
          <wp:positionV relativeFrom="paragraph">
            <wp:posOffset>-447654</wp:posOffset>
          </wp:positionV>
          <wp:extent cx="720001" cy="720001"/>
          <wp:effectExtent l="0" t="0" r="0" b="0"/>
          <wp:wrapSquare wrapText="bothSides" distT="152400" distB="152400" distL="152400" distR="152400"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128B"/>
    <w:multiLevelType w:val="multilevel"/>
    <w:tmpl w:val="31EA6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A8"/>
    <w:rsid w:val="00A1405D"/>
    <w:rsid w:val="00E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4F98"/>
  <w15:docId w15:val="{8C16A986-3223-4998-BAB6-5223233E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A569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qFormat/>
    <w:rsid w:val="00A97D9F"/>
    <w:pPr>
      <w:ind w:left="720"/>
      <w:contextualSpacing/>
    </w:pPr>
  </w:style>
  <w:style w:type="character" w:styleId="Refdecomentario">
    <w:name w:val="annotation reference"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qFormat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650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50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E85E8D"/>
    <w:rPr>
      <w:color w:val="0000FF"/>
      <w:u w:val="singl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0408C"/>
    <w:rPr>
      <w:b/>
      <w:bCs/>
    </w:rPr>
  </w:style>
  <w:style w:type="paragraph" w:customStyle="1" w:styleId="Cuadrculamedia21">
    <w:name w:val="Cuadrícula media 21"/>
    <w:link w:val="Cuadrculamedia2Car"/>
    <w:uiPriority w:val="1"/>
    <w:qFormat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qowt-font1-calibri">
    <w:name w:val="qowt-font1-calibri"/>
    <w:rsid w:val="00610F2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77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E5D"/>
    <w:rPr>
      <w:color w:val="800080" w:themeColor="followedHyperlink"/>
      <w:u w:val="single"/>
    </w:rPr>
  </w:style>
  <w:style w:type="character" w:customStyle="1" w:styleId="Ninguno">
    <w:name w:val="Ninguno"/>
    <w:rsid w:val="00E010BC"/>
    <w:rPr>
      <w:lang w:val="es-ES_tradnl"/>
    </w:rPr>
  </w:style>
  <w:style w:type="paragraph" w:customStyle="1" w:styleId="Destacado">
    <w:name w:val="Destacado"/>
    <w:rsid w:val="00E010B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3A7AB2"/>
      <w:sz w:val="32"/>
      <w:szCs w:val="32"/>
      <w:u w:color="000000"/>
      <w:bdr w:val="nil"/>
    </w:rPr>
  </w:style>
  <w:style w:type="paragraph" w:styleId="Encabezado">
    <w:name w:val="header"/>
    <w:basedOn w:val="Normal"/>
    <w:link w:val="Encabezado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A7D"/>
  </w:style>
  <w:style w:type="paragraph" w:styleId="Piedepgina">
    <w:name w:val="footer"/>
    <w:basedOn w:val="Normal"/>
    <w:link w:val="Piedepgina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A7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2326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56064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660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-assets.bcg.com/cf/76/00bdede345b09397d1269119e6f1/bcg-decoding-global-talent-onsite-and-virtual-mar-2021-rr.pdf" TargetMode="External"/><Relationship Id="rId18" Type="http://schemas.openxmlformats.org/officeDocument/2006/relationships/hyperlink" Target="https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mailto:prensa@infojobs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-assets.bcg.com/74/33/14077446434fa8685891ba0e2e69/bcg-decoding-global-ways-of-working-mar-2021.pdf" TargetMode="External"/><Relationship Id="rId17" Type="http://schemas.openxmlformats.org/officeDocument/2006/relationships/hyperlink" Target="https://www.coches.ne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https://www.adevinta.com/es/sp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-assets.bcg.com/93/b6/11ba136841189e51cc50486f1340/bcg-decoding-global-reskilling-and-career-paths-apr-202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osotros.infojobs.net/prensa/notas-prensa/el-incremento-de-los-gastos-en-el-hogar-principal-problematica-del-teletrabajo-para-el-40-de-los-espanoles" TargetMode="External"/><Relationship Id="rId19" Type="http://schemas.openxmlformats.org/officeDocument/2006/relationships/hyperlink" Target="https://www.milanuncio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otocasa.es/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0o4vwNt8GfEGItQC/RjHvuBxxA==">AMUW2mUPI5F9+FghKFGzx43pp2mocWwWDbb7gYYwT4M4oN+1IvoIH5xwSjCFp+f7wG7Zfku6SPr9tgfEiSS0Ne8wkjqvPNxJpWU3kbbMqBEeY4XO6CnktNu9/TsUMd4XeEi+EkxBrgvFABf1TZLTWCUuLinJadCMVz3LEeG9Qp4Wv8A5Asv2c+E=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Casas</dc:creator>
  <cp:lastModifiedBy>Pablo Gutiérrez</cp:lastModifiedBy>
  <cp:revision>2</cp:revision>
  <dcterms:created xsi:type="dcterms:W3CDTF">2020-11-05T16:22:00Z</dcterms:created>
  <dcterms:modified xsi:type="dcterms:W3CDTF">2021-05-26T14:50:00Z</dcterms:modified>
</cp:coreProperties>
</file>