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EF5958" w14:textId="77777777" w:rsidR="000F1B7F" w:rsidRDefault="000F1B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16"/>
          <w:szCs w:val="16"/>
        </w:rPr>
      </w:pPr>
    </w:p>
    <w:p w14:paraId="2C436088" w14:textId="77777777" w:rsidR="000F1B7F" w:rsidRDefault="002B51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  <w:r>
        <w:rPr>
          <w:rFonts w:ascii="Arial" w:eastAsia="Arial" w:hAnsi="Arial" w:cs="Arial"/>
          <w:b/>
          <w:color w:val="0070C0"/>
          <w:sz w:val="32"/>
          <w:szCs w:val="32"/>
        </w:rPr>
        <w:t>Un tercio de la población activa española asegura que le resulta difícil conciliar la vida familiar y laboral</w:t>
      </w:r>
    </w:p>
    <w:p w14:paraId="2FDB19E6" w14:textId="77777777" w:rsidR="000F1B7F" w:rsidRDefault="000F1B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37D53E4" w14:textId="77777777" w:rsidR="000F1B7F" w:rsidRDefault="000F1B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highlight w:val="yellow"/>
        </w:rPr>
      </w:pPr>
    </w:p>
    <w:p w14:paraId="7A08024E" w14:textId="77777777" w:rsidR="000F1B7F" w:rsidRDefault="002B51B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flexibilidad horaria (58%), las jornadas intensivas de trabajo (42%) y la adopción del teletrabajo (37%), las tres herramientas preferidas de cara a garantizar la conciliación </w:t>
      </w:r>
    </w:p>
    <w:p w14:paraId="204D582F" w14:textId="77777777" w:rsidR="000F1B7F" w:rsidRDefault="002B51B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41% de las compañías con más de la mitad de mujeres en puestos directivos</w:t>
      </w:r>
      <w:r>
        <w:rPr>
          <w:rFonts w:ascii="Arial" w:eastAsia="Arial" w:hAnsi="Arial" w:cs="Arial"/>
          <w:sz w:val="20"/>
          <w:szCs w:val="20"/>
        </w:rPr>
        <w:t>, son las que más facilidades ofrecen a estas para encontrar equilibrio entre trabajo y vida familiar</w:t>
      </w:r>
    </w:p>
    <w:p w14:paraId="523CC1A3" w14:textId="77777777" w:rsidR="000F1B7F" w:rsidRDefault="002B51B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 de cada 10 medianas y grandes empresas ya ofrecen el teletrabajo como medida de conciliación</w:t>
      </w:r>
    </w:p>
    <w:p w14:paraId="7FDD7DC0" w14:textId="77777777" w:rsidR="000F1B7F" w:rsidRDefault="000F1B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20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6F2E3265" w14:textId="77777777" w:rsidR="000F1B7F" w:rsidRDefault="002B51B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Madrid, 18 de marzo de 2021</w:t>
      </w:r>
      <w:r>
        <w:t>.</w:t>
      </w:r>
      <w:r>
        <w:rPr>
          <w:rFonts w:ascii="Arial" w:eastAsia="Arial" w:hAnsi="Arial" w:cs="Arial"/>
          <w:sz w:val="20"/>
          <w:szCs w:val="20"/>
        </w:rPr>
        <w:t xml:space="preserve"> La generalizada implementación del teletrabajo a causa de la pandemia del coronavirus ha puesto de manifiesto que la conciliación sigue siendo una tarea pendiente para buena parte de las empresas de nuestro país.</w:t>
      </w:r>
    </w:p>
    <w:p w14:paraId="5A505270" w14:textId="77777777" w:rsidR="000F1B7F" w:rsidRDefault="000F1B7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677755E" w14:textId="77777777" w:rsidR="000F1B7F" w:rsidRDefault="002B51B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comienzo del pasado confinamiento, con</w:t>
      </w:r>
      <w:r>
        <w:rPr>
          <w:rFonts w:ascii="Arial" w:eastAsia="Arial" w:hAnsi="Arial" w:cs="Arial"/>
          <w:sz w:val="20"/>
          <w:szCs w:val="20"/>
        </w:rPr>
        <w:t xml:space="preserve"> el 55% de los ocupados trabajando desde el escritorio de su casa, el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31% de los españoles afirmaba, por </w:t>
        </w:r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ejemplo, que tenía dificultades para desconectar digitalmente</w:t>
        </w:r>
      </w:hyperlink>
      <w:r>
        <w:rPr>
          <w:rFonts w:ascii="Arial" w:eastAsia="Arial" w:hAnsi="Arial" w:cs="Arial"/>
          <w:sz w:val="20"/>
          <w:szCs w:val="20"/>
        </w:rPr>
        <w:t xml:space="preserve">, y hasta el 67% reconocía responder y atender llamadas de trabajo fuera del horario laboral. Un año después de la adopción de este modelo laboral, y según recoge el Informe de InfoJobs sobre Conciliación* un tercio de la población activa española asegura </w:t>
      </w:r>
      <w:r>
        <w:rPr>
          <w:rFonts w:ascii="Arial" w:eastAsia="Arial" w:hAnsi="Arial" w:cs="Arial"/>
          <w:sz w:val="20"/>
          <w:szCs w:val="20"/>
        </w:rPr>
        <w:t xml:space="preserve">que le resulta difícil conciliar la vida familiar y laboral. De hecho, solo un 33% de los entrevistados afirma tener facilidades para combinar el trabajo con la familia.  </w:t>
      </w:r>
    </w:p>
    <w:p w14:paraId="3FDE7974" w14:textId="77777777" w:rsidR="000F1B7F" w:rsidRDefault="000F1B7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4E63CF8" w14:textId="77777777" w:rsidR="000F1B7F" w:rsidRDefault="002B51B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Recientemente, el Ministerio de Igualdad ha anunciado la aprobación del Plan Corres</w:t>
      </w:r>
      <w:r>
        <w:rPr>
          <w:rFonts w:ascii="Arial" w:eastAsia="Arial" w:hAnsi="Arial" w:cs="Arial"/>
          <w:sz w:val="20"/>
          <w:szCs w:val="20"/>
        </w:rPr>
        <w:t>ponsables, que pretende paliar este problema mediante la creación de empleo y la ayuda a la conciliación entre trabajadoras con hijos menores, creando una red de cuidadores a domicilio. De hecho, según datos del informe de InfoJobs, uno de cada tres ocupad</w:t>
      </w:r>
      <w:r>
        <w:rPr>
          <w:rFonts w:ascii="Arial" w:eastAsia="Arial" w:hAnsi="Arial" w:cs="Arial"/>
          <w:sz w:val="20"/>
          <w:szCs w:val="20"/>
        </w:rPr>
        <w:t>os en España a día de hoy tiene que hacerse cargo del cuidado de hijos menores de 15 años. Además, los últimos datos del INE indican que, para poder hacerlo, 1 de cada 5 recurre a servicios profesionales.</w:t>
      </w:r>
    </w:p>
    <w:p w14:paraId="1FBDCA2A" w14:textId="77777777" w:rsidR="000F1B7F" w:rsidRDefault="000F1B7F">
      <w:pP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</w:p>
    <w:p w14:paraId="4F017F74" w14:textId="77777777" w:rsidR="000F1B7F" w:rsidRDefault="002B51B3">
      <w:pP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Cambios de turnos, acceso a zonas de guardería o l</w:t>
      </w:r>
      <w:r>
        <w:rPr>
          <w:rFonts w:ascii="Arial" w:eastAsia="Arial" w:hAnsi="Arial" w:cs="Arial"/>
          <w:b/>
          <w:color w:val="2088C2"/>
          <w:sz w:val="20"/>
          <w:szCs w:val="20"/>
        </w:rPr>
        <w:t>actancia y excedencias para el cuidado de los hijos son las tres medidas que las mujeres solicitan en mayor porcentaje que los varones</w:t>
      </w:r>
    </w:p>
    <w:p w14:paraId="078368F3" w14:textId="77777777" w:rsidR="000F1B7F" w:rsidRDefault="000F1B7F">
      <w:pP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</w:p>
    <w:p w14:paraId="575DE3A7" w14:textId="77777777" w:rsidR="000F1B7F" w:rsidRDefault="002B51B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Aunque las mujeres se muestran algo más exigentes que los hombres en temas de conciliación -demandan en mayor porcentaje</w:t>
      </w:r>
      <w:r>
        <w:rPr>
          <w:rFonts w:ascii="Arial" w:eastAsia="Arial" w:hAnsi="Arial" w:cs="Arial"/>
          <w:sz w:val="20"/>
          <w:szCs w:val="20"/>
        </w:rPr>
        <w:t xml:space="preserve"> que los hombres cambios de turnos (29%), la disponibilidad de zonas de guardería o lactancia (20%) y excedencias para el cuidado de los hijos (19%)-, ambos géneros manifiestan tener el mismo nivel de dificultad a la hora de conciliar la vida laboral y el </w:t>
      </w:r>
      <w:r>
        <w:rPr>
          <w:rFonts w:ascii="Arial" w:eastAsia="Arial" w:hAnsi="Arial" w:cs="Arial"/>
          <w:sz w:val="20"/>
          <w:szCs w:val="20"/>
        </w:rPr>
        <w:t xml:space="preserve">trabajo. Así, al 31% de los varones le resulta complicado encontrar el equilibrio, frente al 29% de las mujeres. </w:t>
      </w:r>
    </w:p>
    <w:p w14:paraId="47F37268" w14:textId="77777777" w:rsidR="000F1B7F" w:rsidRDefault="000F1B7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178D978" w14:textId="77777777" w:rsidR="000F1B7F" w:rsidRDefault="002B51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Mónica Pérez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directora de Comunicación de InfoJobs,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señala: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“Aunque es cierto que, tradicionalmente, son las mujeres las que más dificultade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 encuentran a la hora de conciliar vida laboral y familiar, la conciliación afecta directamente a hombres </w:t>
      </w:r>
      <w:r>
        <w:rPr>
          <w:rFonts w:ascii="Arial" w:eastAsia="Arial" w:hAnsi="Arial" w:cs="Arial"/>
          <w:i/>
          <w:sz w:val="20"/>
          <w:szCs w:val="20"/>
        </w:rPr>
        <w:t xml:space="preserve">y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mujeres y debe abordarse como una necesidad (y </w:t>
      </w:r>
      <w:r>
        <w:rPr>
          <w:rFonts w:ascii="Arial" w:eastAsia="Arial" w:hAnsi="Arial" w:cs="Arial"/>
          <w:i/>
          <w:sz w:val="20"/>
          <w:szCs w:val="20"/>
        </w:rPr>
        <w:t xml:space="preserve">obligación) común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En este sentido, tanto las empresas como la Administración Pública deben consensu</w:t>
      </w:r>
      <w:r>
        <w:rPr>
          <w:rFonts w:ascii="Arial" w:eastAsia="Arial" w:hAnsi="Arial" w:cs="Arial"/>
          <w:i/>
          <w:color w:val="000000"/>
          <w:sz w:val="20"/>
          <w:szCs w:val="20"/>
        </w:rPr>
        <w:t>ar y aplicar soluciones que, en la medida de lo posible, se adecúen a las diferentes circunstancias de los profesionales”.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43BBAB0" w14:textId="77777777" w:rsidR="000F1B7F" w:rsidRDefault="000F1B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275F9EF" w14:textId="77777777" w:rsidR="000F1B7F" w:rsidRDefault="002B51B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La flexibilidad horaria, las jornadas intensivas de trabajo y el teletrabajo son las tres medidas de conciliación más demandadas po</w:t>
      </w:r>
      <w:r>
        <w:rPr>
          <w:rFonts w:ascii="Arial" w:eastAsia="Arial" w:hAnsi="Arial" w:cs="Arial"/>
          <w:b/>
          <w:color w:val="2088C2"/>
          <w:sz w:val="20"/>
          <w:szCs w:val="20"/>
        </w:rPr>
        <w:t xml:space="preserve">r la población activa  </w:t>
      </w:r>
    </w:p>
    <w:p w14:paraId="7302135F" w14:textId="77777777" w:rsidR="000F1B7F" w:rsidRDefault="002B51B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flexibilidad horaria (58%), las jornadas intensivas de trabajo (42%) y la adopción del teletrabajo (37%) son las tres herramientas preferidas por la población activa española de cara a garantizar la conciliación. A </w:t>
      </w:r>
      <w:r>
        <w:rPr>
          <w:rFonts w:ascii="Arial" w:eastAsia="Arial" w:hAnsi="Arial" w:cs="Arial"/>
          <w:sz w:val="20"/>
          <w:szCs w:val="20"/>
        </w:rPr>
        <w:t>estas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les </w:t>
      </w:r>
      <w:r>
        <w:rPr>
          <w:rFonts w:ascii="Arial" w:eastAsia="Arial" w:hAnsi="Arial" w:cs="Arial"/>
          <w:sz w:val="20"/>
          <w:szCs w:val="20"/>
        </w:rPr>
        <w:t>siguen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 desconexión digital (28%), la posibilidad de cambio de turno entre compañeros (25%) y las horas anuales remuneradas de asuntos particulares (23%). En último lugar estarían las excedencias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por el cuidado de los hijos (16%) y la disponibilidad de zonas d</w:t>
      </w:r>
      <w:r>
        <w:rPr>
          <w:rFonts w:ascii="Arial" w:eastAsia="Arial" w:hAnsi="Arial" w:cs="Arial"/>
          <w:color w:val="000000"/>
          <w:sz w:val="20"/>
          <w:szCs w:val="20"/>
        </w:rPr>
        <w:t>e guardería o lactancia dentro de la propia organización (15%).</w:t>
      </w:r>
    </w:p>
    <w:p w14:paraId="31AE23A4" w14:textId="2B788EB1" w:rsidR="000F1B7F" w:rsidRDefault="002B51B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9A7AFA3" wp14:editId="1B98565F">
            <wp:extent cx="5940425" cy="310832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A1570" w14:textId="77777777" w:rsidR="000F1B7F" w:rsidRDefault="002B51B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Por grupos de edad, los jóvenes de entre 16 y 24 años dan mayor importancia a la posibilidad de cambiar de turno/día entre compañeros (50%); mientras que en edades más intermedias (35-44 año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s), el teletrabajo cobra más peso (44%). </w:t>
      </w:r>
    </w:p>
    <w:p w14:paraId="32350869" w14:textId="77777777" w:rsidR="000F1B7F" w:rsidRDefault="002B51B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cuanto a los resultados por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omunidades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utónomas, y poniendo el foco en las cinco más grandes (Madrid, </w:t>
      </w:r>
      <w:r>
        <w:rPr>
          <w:rFonts w:ascii="Arial" w:eastAsia="Arial" w:hAnsi="Arial" w:cs="Arial"/>
          <w:sz w:val="20"/>
          <w:szCs w:val="20"/>
        </w:rPr>
        <w:t>Cataluña</w:t>
      </w:r>
      <w:r>
        <w:rPr>
          <w:rFonts w:ascii="Arial" w:eastAsia="Arial" w:hAnsi="Arial" w:cs="Arial"/>
          <w:color w:val="000000"/>
          <w:sz w:val="20"/>
          <w:szCs w:val="20"/>
        </w:rPr>
        <w:t>, Andalucía, Comunidad Valenciana y País Vasco), Madrid es la que más importancia otorga a la flexi</w:t>
      </w:r>
      <w:r>
        <w:rPr>
          <w:rFonts w:ascii="Arial" w:eastAsia="Arial" w:hAnsi="Arial" w:cs="Arial"/>
          <w:color w:val="000000"/>
          <w:sz w:val="20"/>
          <w:szCs w:val="20"/>
        </w:rPr>
        <w:t>bilidad horaria (62%), por delante de Catalu</w:t>
      </w:r>
      <w:r>
        <w:rPr>
          <w:rFonts w:ascii="Arial" w:eastAsia="Arial" w:hAnsi="Arial" w:cs="Arial"/>
          <w:sz w:val="20"/>
          <w:szCs w:val="20"/>
        </w:rPr>
        <w:t>ñ</w:t>
      </w:r>
      <w:r>
        <w:rPr>
          <w:rFonts w:ascii="Arial" w:eastAsia="Arial" w:hAnsi="Arial" w:cs="Arial"/>
          <w:color w:val="000000"/>
          <w:sz w:val="20"/>
          <w:szCs w:val="20"/>
        </w:rPr>
        <w:t>a y País Vasco (59%); mientras que la comunidad catalana es la que mejor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acogería las jornadas intensivas de trabajo (51%), seguida de Madrid (48%) y Comunidad Valenciana (43%). Respecto a la tercera de las medi</w:t>
      </w:r>
      <w:r>
        <w:rPr>
          <w:rFonts w:ascii="Arial" w:eastAsia="Arial" w:hAnsi="Arial" w:cs="Arial"/>
          <w:color w:val="000000"/>
          <w:sz w:val="20"/>
          <w:szCs w:val="20"/>
        </w:rPr>
        <w:t>das más solicitadas por la población activa -la adopción del teletrabajo-, Madrid es nuevamente la comunidad que más apuesta por ella (49%), por delante de Catalu</w:t>
      </w:r>
      <w:r>
        <w:rPr>
          <w:rFonts w:ascii="Arial" w:eastAsia="Arial" w:hAnsi="Arial" w:cs="Arial"/>
          <w:sz w:val="20"/>
          <w:szCs w:val="20"/>
        </w:rPr>
        <w:t>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(38%) y el resto de comunidades (36%). </w:t>
      </w:r>
    </w:p>
    <w:p w14:paraId="379069C1" w14:textId="77777777" w:rsidR="000F1B7F" w:rsidRDefault="002B51B3">
      <w:pP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La conciliación, clave en el acceso de la mujer a p</w:t>
      </w:r>
      <w:r>
        <w:rPr>
          <w:rFonts w:ascii="Arial" w:eastAsia="Arial" w:hAnsi="Arial" w:cs="Arial"/>
          <w:b/>
          <w:color w:val="2088C2"/>
          <w:sz w:val="20"/>
          <w:szCs w:val="20"/>
        </w:rPr>
        <w:t>uestos directivos y de liderazgo</w:t>
      </w:r>
    </w:p>
    <w:p w14:paraId="3A35ECA4" w14:textId="77777777" w:rsidR="000F1B7F" w:rsidRDefault="000F1B7F">
      <w:pP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</w:p>
    <w:p w14:paraId="41C4115E" w14:textId="77777777" w:rsidR="000F1B7F" w:rsidRDefault="002B51B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 datos del Informe publicados por InfoJobs evidencian que existe una clara relación entre el porcentaje de mujeres en puestos directivos y la conciliación laboral. Así, en aquellas compañías en las que hay más de un 50%</w:t>
      </w:r>
      <w:r>
        <w:rPr>
          <w:rFonts w:ascii="Arial" w:eastAsia="Arial" w:hAnsi="Arial" w:cs="Arial"/>
          <w:sz w:val="20"/>
          <w:szCs w:val="20"/>
        </w:rPr>
        <w:t xml:space="preserve"> de mujeres que ejercen cargos de responsabilidad, el 41% de las mismas afirma tener facilidad para encontrar equilibrio entre su puesto de trabajo y la vida familiar. Por el contrario, en las empresas es las que menos del 5% de puestos directivos están oc</w:t>
      </w:r>
      <w:r>
        <w:rPr>
          <w:rFonts w:ascii="Arial" w:eastAsia="Arial" w:hAnsi="Arial" w:cs="Arial"/>
          <w:sz w:val="20"/>
          <w:szCs w:val="20"/>
        </w:rPr>
        <w:t xml:space="preserve">upados por mujeres, el 34% de ellas señala que tiene dificultad para alcanzar esta conciliación. </w:t>
      </w:r>
    </w:p>
    <w:p w14:paraId="19DB090F" w14:textId="32A34377" w:rsidR="000F1B7F" w:rsidRDefault="002B51B3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30EBEAB" wp14:editId="6C11B006">
            <wp:extent cx="5940425" cy="3108325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2F749FD" w14:textId="77777777" w:rsidR="000F1B7F" w:rsidRDefault="002B51B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medida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 el porcentaje de mujeres en puestos de responsabilidad y liderazgo crece, lo hacen también las facilidades que estas encuentran para conciliar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 vida profesional y familiar.</w:t>
      </w:r>
    </w:p>
    <w:p w14:paraId="63DE119A" w14:textId="77777777" w:rsidR="000F1B7F" w:rsidRDefault="002B51B3">
      <w:pP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6 de cada 10 medianas y grandes empresas ya ofrecen el teletrabajo como medida de conciliación</w:t>
      </w:r>
    </w:p>
    <w:p w14:paraId="59561E9B" w14:textId="7D9ACCB6" w:rsidR="000F1B7F" w:rsidRDefault="002B51B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Entre las medidas más implantadas por las compañías de más de 50 empleados para facilitar la conciliación destaca la aparición d</w:t>
      </w:r>
      <w:r>
        <w:rPr>
          <w:rFonts w:ascii="Arial" w:eastAsia="Arial" w:hAnsi="Arial" w:cs="Arial"/>
          <w:color w:val="000000"/>
          <w:sz w:val="20"/>
          <w:szCs w:val="20"/>
        </w:rPr>
        <w:t>el teletrabajo (60%), aunque la herramienta más empleada es la flexibilidad laboral (71%). También destacan la excedencia por el cuidado de los hijos (50% y las jornadas intensivas de trabajo (45%).</w:t>
      </w:r>
    </w:p>
    <w:p w14:paraId="36AC701B" w14:textId="3B7FB49C" w:rsidR="002B51B3" w:rsidRDefault="002B51B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8C6ADBF" wp14:editId="3E51FE99">
            <wp:extent cx="5940425" cy="3108325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11319" w14:textId="77777777" w:rsidR="000F1B7F" w:rsidRDefault="002B51B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Por su parte, las empresas de menos de 50 empleados demue</w:t>
      </w:r>
      <w:r>
        <w:rPr>
          <w:rFonts w:ascii="Arial" w:eastAsia="Arial" w:hAnsi="Arial" w:cs="Arial"/>
          <w:color w:val="000000"/>
          <w:sz w:val="20"/>
          <w:szCs w:val="20"/>
        </w:rPr>
        <w:t>stran tener más dificultades para ofrecer medidas que faciliten la conciliación. Así, la flexibilidad horaria (60%) es la única herramienta implementada por más de la mitad de este tipo de organizaciones. El teletrabajo (43%), las jornadas intensivas (33%)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la posibilidad de cambio de turno (32%) o las excedencias (18%) caen por debajo de ese ratio. </w:t>
      </w:r>
    </w:p>
    <w:p w14:paraId="70A68A69" w14:textId="77777777" w:rsidR="000F1B7F" w:rsidRDefault="002B51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8"/>
          <w:szCs w:val="8"/>
          <w:highlight w:val="yellow"/>
          <w:u w:val="single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lastRenderedPageBreak/>
        <w:t>*</w:t>
      </w:r>
      <w:r>
        <w:rPr>
          <w:rFonts w:ascii="Calibri" w:eastAsia="Calibri" w:hAnsi="Calibri" w:cs="Calibri"/>
          <w:b/>
          <w:i/>
          <w:color w:val="2088C2"/>
          <w:sz w:val="20"/>
          <w:szCs w:val="20"/>
        </w:rPr>
        <w:t>Nota metodológica informe:</w:t>
      </w:r>
    </w:p>
    <w:p w14:paraId="4018C04D" w14:textId="77777777" w:rsidR="000F1B7F" w:rsidRDefault="002B51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Encuesta online </w:t>
      </w:r>
      <w:r>
        <w:rPr>
          <w:rFonts w:ascii="Arial" w:eastAsia="Arial" w:hAnsi="Arial" w:cs="Arial"/>
          <w:sz w:val="16"/>
          <w:szCs w:val="16"/>
        </w:rPr>
        <w:t>realizad</w:t>
      </w:r>
      <w:r>
        <w:rPr>
          <w:rFonts w:ascii="Arial" w:eastAsia="Arial" w:hAnsi="Arial" w:cs="Arial"/>
          <w:sz w:val="16"/>
          <w:szCs w:val="16"/>
          <w:highlight w:val="white"/>
        </w:rPr>
        <w:t xml:space="preserve">a 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en </w:t>
      </w:r>
      <w:r>
        <w:rPr>
          <w:rFonts w:ascii="Arial" w:eastAsia="Arial" w:hAnsi="Arial" w:cs="Arial"/>
          <w:sz w:val="16"/>
          <w:szCs w:val="16"/>
          <w:highlight w:val="white"/>
        </w:rPr>
        <w:t xml:space="preserve">febrero 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de 2021 a través </w:t>
      </w:r>
      <w:r>
        <w:rPr>
          <w:rFonts w:ascii="Arial" w:eastAsia="Arial" w:hAnsi="Arial" w:cs="Arial"/>
          <w:sz w:val="16"/>
          <w:szCs w:val="16"/>
          <w:highlight w:val="white"/>
        </w:rPr>
        <w:t>de un panel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de población española. La muestra de 4.742 personas es representativa del total de población activa (Fuente: EPA 2020TT</w:t>
      </w:r>
      <w:r>
        <w:rPr>
          <w:rFonts w:ascii="Arial" w:eastAsia="Arial" w:hAnsi="Arial" w:cs="Arial"/>
          <w:sz w:val="16"/>
          <w:szCs w:val="16"/>
          <w:highlight w:val="white"/>
        </w:rPr>
        <w:t>3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por edad, sexo, situación laboral y CCAA. Error muestral: 1,4% para un intervalo de confianza del 95%.</w:t>
      </w:r>
    </w:p>
    <w:p w14:paraId="10962204" w14:textId="77777777" w:rsidR="000F1B7F" w:rsidRDefault="002B51B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Encuesta online </w:t>
      </w:r>
      <w:r>
        <w:rPr>
          <w:rFonts w:ascii="Arial" w:eastAsia="Arial" w:hAnsi="Arial" w:cs="Arial"/>
          <w:sz w:val="16"/>
          <w:szCs w:val="16"/>
        </w:rPr>
        <w:t>realizada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en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</w:t>
      </w:r>
      <w:r>
        <w:rPr>
          <w:rFonts w:ascii="Arial" w:eastAsia="Arial" w:hAnsi="Arial" w:cs="Arial"/>
          <w:sz w:val="16"/>
          <w:szCs w:val="16"/>
          <w:highlight w:val="white"/>
        </w:rPr>
        <w:t>f</w:t>
      </w:r>
      <w:r>
        <w:rPr>
          <w:rFonts w:ascii="Arial" w:eastAsia="Arial" w:hAnsi="Arial" w:cs="Arial"/>
          <w:sz w:val="16"/>
          <w:szCs w:val="16"/>
          <w:highlight w:val="white"/>
        </w:rPr>
        <w:t>ebrero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de 2021 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l panel de empresas de la BBDD de InfoJobs. La muestra es de 768 empresas. Error muestral: 3,5% para un intervalo de confianza del 95%.   </w:t>
      </w:r>
    </w:p>
    <w:p w14:paraId="6AA3B756" w14:textId="77777777" w:rsidR="000F1B7F" w:rsidRDefault="002B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Sobre InfoJobs</w:t>
      </w:r>
    </w:p>
    <w:p w14:paraId="25BD4DD0" w14:textId="77777777" w:rsidR="000F1B7F" w:rsidRDefault="002B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Plataforma líder en España para encontrar las mejores oportunidades profesionales y el mejor talento. En el último año, InfoJobs ha publicado más de 1,5 millones de posiciones vacantes. Cuenta cada mes con 40 millones de visitas (más del 80% proceden de di</w:t>
      </w:r>
      <w:r>
        <w:rPr>
          <w:rFonts w:ascii="Arial" w:eastAsia="Arial" w:hAnsi="Arial" w:cs="Arial"/>
          <w:color w:val="808080"/>
          <w:sz w:val="16"/>
          <w:szCs w:val="16"/>
        </w:rPr>
        <w:t>spositivos móviles) y cerca de 6 millones de usuarios activos. (Fuente datos: Adobe Analytics Feb 2021).</w:t>
      </w:r>
    </w:p>
    <w:p w14:paraId="6A5EE9CB" w14:textId="77777777" w:rsidR="000F1B7F" w:rsidRDefault="000F1B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</w:p>
    <w:p w14:paraId="563C0AA7" w14:textId="77777777" w:rsidR="000F1B7F" w:rsidRDefault="002B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InfoJobs pertenece a Adevinta, compañía líder en marketplaces digitales y una de las principales empresas del sector tecnológico del país, con más de </w:t>
      </w:r>
      <w:r>
        <w:rPr>
          <w:rFonts w:ascii="Arial" w:eastAsia="Arial" w:hAnsi="Arial" w:cs="Arial"/>
          <w:color w:val="808080"/>
          <w:sz w:val="16"/>
          <w:szCs w:val="16"/>
        </w:rPr>
        <w:t>18 millones de usuarios al mes en sus plataformas de los sectores inmobiliario (</w:t>
      </w:r>
      <w:hyperlink r:id="rId12">
        <w:r>
          <w:rPr>
            <w:rFonts w:ascii="Arial" w:eastAsia="Arial" w:hAnsi="Arial" w:cs="Arial"/>
            <w:color w:val="808080"/>
            <w:sz w:val="16"/>
            <w:szCs w:val="16"/>
          </w:rPr>
          <w:t>Fotocasa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3">
        <w:r>
          <w:rPr>
            <w:rFonts w:ascii="Arial" w:eastAsia="Arial" w:hAnsi="Arial" w:cs="Arial"/>
            <w:color w:val="808080"/>
            <w:sz w:val="16"/>
            <w:szCs w:val="16"/>
          </w:rPr>
          <w:t>habitaclia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empleo (</w:t>
      </w:r>
      <w:hyperlink r:id="rId14">
        <w:r>
          <w:rPr>
            <w:rFonts w:ascii="Arial" w:eastAsia="Arial" w:hAnsi="Arial" w:cs="Arial"/>
            <w:color w:val="808080"/>
            <w:sz w:val="16"/>
            <w:szCs w:val="16"/>
          </w:rPr>
          <w:t>InfoJ</w:t>
        </w:r>
        <w:r>
          <w:rPr>
            <w:rFonts w:ascii="Arial" w:eastAsia="Arial" w:hAnsi="Arial" w:cs="Arial"/>
            <w:color w:val="808080"/>
            <w:sz w:val="16"/>
            <w:szCs w:val="16"/>
          </w:rPr>
          <w:t>obs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motor (</w:t>
      </w:r>
      <w:hyperlink r:id="rId15">
        <w:r>
          <w:rPr>
            <w:rFonts w:ascii="Arial" w:eastAsia="Arial" w:hAnsi="Arial" w:cs="Arial"/>
            <w:color w:val="808080"/>
            <w:sz w:val="16"/>
            <w:szCs w:val="16"/>
          </w:rPr>
          <w:t>coches.net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6">
        <w:r>
          <w:rPr>
            <w:rFonts w:ascii="Arial" w:eastAsia="Arial" w:hAnsi="Arial" w:cs="Arial"/>
            <w:color w:val="808080"/>
            <w:sz w:val="16"/>
            <w:szCs w:val="16"/>
          </w:rPr>
          <w:t>motos.net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 y compraventa de artículos de segunda mano (</w:t>
      </w:r>
      <w:hyperlink r:id="rId17">
        <w:r>
          <w:rPr>
            <w:rFonts w:ascii="Arial" w:eastAsia="Arial" w:hAnsi="Arial" w:cs="Arial"/>
            <w:color w:val="808080"/>
            <w:sz w:val="16"/>
            <w:szCs w:val="16"/>
          </w:rPr>
          <w:t>Milanuncios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).</w:t>
      </w:r>
    </w:p>
    <w:p w14:paraId="587196D0" w14:textId="77777777" w:rsidR="000F1B7F" w:rsidRDefault="002B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 </w:t>
      </w:r>
    </w:p>
    <w:p w14:paraId="18B383DB" w14:textId="77777777" w:rsidR="000F1B7F" w:rsidRDefault="002B5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Adevinta tiene presenci</w:t>
      </w:r>
      <w:r>
        <w:rPr>
          <w:rFonts w:ascii="Arial" w:eastAsia="Arial" w:hAnsi="Arial" w:cs="Arial"/>
          <w:color w:val="808080"/>
          <w:sz w:val="16"/>
          <w:szCs w:val="16"/>
        </w:rPr>
        <w:t>a en 12 países de Europa y América Latina. En España cuenta con una plantilla de 1.100 empleados, comprometidos con fomentar un cambio positivo en el mundo a través de tecnología innovadora, otorgando una nueva oportunidad a quienes la están buscando y dan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do a las cosas una segunda vida. El conjunto de sus plataformas locales recibe un promedio de 1.300 millones de visitas cada mes. Más información en </w:t>
      </w:r>
      <w:hyperlink r:id="rId18">
        <w:r>
          <w:rPr>
            <w:rFonts w:ascii="Arial" w:eastAsia="Arial" w:hAnsi="Arial" w:cs="Arial"/>
            <w:color w:val="808080"/>
            <w:sz w:val="16"/>
            <w:szCs w:val="16"/>
          </w:rPr>
          <w:t>adevinta.es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14:paraId="39D61751" w14:textId="77777777" w:rsidR="000F1B7F" w:rsidRDefault="000F1B7F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  <w:u w:val="single"/>
        </w:rPr>
      </w:pPr>
    </w:p>
    <w:p w14:paraId="65493F16" w14:textId="77777777" w:rsidR="000F1B7F" w:rsidRDefault="002B51B3">
      <w:pPr>
        <w:spacing w:line="25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</w:p>
    <w:p w14:paraId="460625D4" w14:textId="77777777" w:rsidR="000F1B7F" w:rsidRDefault="002B51B3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14:paraId="74E61300" w14:textId="77777777" w:rsidR="000F1B7F" w:rsidRDefault="002B51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r>
        <w:rPr>
          <w:rFonts w:ascii="Arial" w:eastAsia="Arial" w:hAnsi="Arial" w:cs="Arial"/>
          <w:color w:val="7F7F7F"/>
          <w:sz w:val="18"/>
          <w:szCs w:val="18"/>
        </w:rPr>
        <w:t>: Mónica Pérez Callejo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r>
        <w:rPr>
          <w:rFonts w:ascii="Arial" w:eastAsia="Arial" w:hAnsi="Arial" w:cs="Arial"/>
          <w:color w:val="7F7F7F"/>
          <w:sz w:val="18"/>
          <w:szCs w:val="18"/>
        </w:rPr>
        <w:t>:  Pablo Gutiérrez / Albert Cuesta</w:t>
      </w:r>
    </w:p>
    <w:p w14:paraId="3973D0CD" w14:textId="77777777" w:rsidR="000F1B7F" w:rsidRDefault="002B51B3">
      <w:pPr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19">
        <w:r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hyperlink r:id="rId20">
        <w:r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14:paraId="2B1E0E3C" w14:textId="77777777" w:rsidR="000F1B7F" w:rsidRDefault="002B51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t xml:space="preserve">     </w:t>
      </w:r>
      <w:r>
        <w:rPr>
          <w:rFonts w:ascii="Arial" w:eastAsia="Arial" w:hAnsi="Arial" w:cs="Arial"/>
          <w:color w:val="808080"/>
          <w:sz w:val="16"/>
          <w:szCs w:val="16"/>
        </w:rPr>
        <w:t>   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  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        T. </w:t>
      </w:r>
      <w:r>
        <w:rPr>
          <w:rFonts w:ascii="Arial" w:eastAsia="Arial" w:hAnsi="Arial" w:cs="Arial"/>
          <w:color w:val="7F7F7F"/>
          <w:sz w:val="18"/>
          <w:szCs w:val="18"/>
        </w:rPr>
        <w:t>34 93 415 37 05 - 676 86 98 56</w:t>
      </w:r>
    </w:p>
    <w:sectPr w:rsidR="000F1B7F">
      <w:headerReference w:type="default" r:id="rId21"/>
      <w:pgSz w:w="11906" w:h="16838"/>
      <w:pgMar w:top="1134" w:right="1133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326BC" w14:textId="77777777" w:rsidR="00000000" w:rsidRDefault="002B51B3">
      <w:r>
        <w:separator/>
      </w:r>
    </w:p>
  </w:endnote>
  <w:endnote w:type="continuationSeparator" w:id="0">
    <w:p w14:paraId="29B51DB3" w14:textId="77777777" w:rsidR="00000000" w:rsidRDefault="002B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66E24" w14:textId="77777777" w:rsidR="00000000" w:rsidRDefault="002B51B3">
      <w:r>
        <w:separator/>
      </w:r>
    </w:p>
  </w:footnote>
  <w:footnote w:type="continuationSeparator" w:id="0">
    <w:p w14:paraId="139C6652" w14:textId="77777777" w:rsidR="00000000" w:rsidRDefault="002B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29AF" w14:textId="77777777" w:rsidR="000F1B7F" w:rsidRDefault="002B51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noProof/>
        <w:color w:val="3A7AB2"/>
        <w:sz w:val="28"/>
        <w:szCs w:val="28"/>
      </w:rPr>
      <w:drawing>
        <wp:inline distT="0" distB="0" distL="0" distR="0" wp14:anchorId="11BB28DB" wp14:editId="541B24F0">
          <wp:extent cx="972902" cy="246830"/>
          <wp:effectExtent l="0" t="0" r="0" b="0"/>
          <wp:docPr id="5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902" cy="246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A7AB2"/>
        <w:sz w:val="28"/>
        <w:szCs w:val="28"/>
      </w:rPr>
      <w:t xml:space="preserve">  </w:t>
    </w:r>
    <w:r>
      <w:rPr>
        <w:rFonts w:ascii="Arial" w:eastAsia="Arial" w:hAnsi="Arial" w:cs="Arial"/>
        <w:color w:val="3A7AB2"/>
        <w:sz w:val="28"/>
        <w:szCs w:val="28"/>
      </w:rPr>
      <w:tab/>
    </w:r>
    <w:r>
      <w:rPr>
        <w:rFonts w:ascii="Arial" w:eastAsia="Arial" w:hAnsi="Arial" w:cs="Arial"/>
        <w:color w:val="666666"/>
      </w:rPr>
      <w:t>23 de marzo: Día Nacional de la Conciliación</w:t>
    </w:r>
    <w:r>
      <w:rPr>
        <w:rFonts w:ascii="Arial" w:eastAsia="Arial" w:hAnsi="Arial" w:cs="Arial"/>
        <w:sz w:val="28"/>
        <w:szCs w:val="28"/>
      </w:rPr>
      <w:t xml:space="preserve">   </w:t>
    </w: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3064DAB0" wp14:editId="28266110">
          <wp:simplePos x="0" y="0"/>
          <wp:positionH relativeFrom="column">
            <wp:posOffset>5505450</wp:posOffset>
          </wp:positionH>
          <wp:positionV relativeFrom="paragraph">
            <wp:posOffset>-447659</wp:posOffset>
          </wp:positionV>
          <wp:extent cx="720001" cy="720001"/>
          <wp:effectExtent l="0" t="0" r="0" b="0"/>
          <wp:wrapSquare wrapText="bothSides" distT="152400" distB="152400" distL="152400" distR="152400"/>
          <wp:docPr id="5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6001B4" w14:textId="77777777" w:rsidR="000F1B7F" w:rsidRDefault="002B51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3A7AB2"/>
        <w:sz w:val="32"/>
        <w:szCs w:val="32"/>
        <w:u w:val="single"/>
      </w:rPr>
    </w:pPr>
    <w:r>
      <w:rPr>
        <w:rFonts w:ascii="Arial" w:eastAsia="Arial" w:hAnsi="Arial" w:cs="Arial"/>
        <w:color w:val="666666"/>
      </w:rPr>
      <w:t xml:space="preserve">                </w:t>
    </w:r>
    <w:r>
      <w:rPr>
        <w:rFonts w:ascii="Arial" w:eastAsia="Arial" w:hAnsi="Arial" w:cs="Arial"/>
        <w:color w:val="666666"/>
        <w:sz w:val="20"/>
        <w:szCs w:val="20"/>
      </w:rPr>
      <w:t xml:space="preserve"> #Conciliación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31A"/>
    <w:multiLevelType w:val="multilevel"/>
    <w:tmpl w:val="F1A86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8D250B"/>
    <w:multiLevelType w:val="multilevel"/>
    <w:tmpl w:val="95405D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7F"/>
    <w:rsid w:val="000F1B7F"/>
    <w:rsid w:val="002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F0C1"/>
  <w15:docId w15:val="{5AAB46BE-21CD-479E-90AA-D28F571A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A569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qFormat/>
    <w:rsid w:val="00A97D9F"/>
    <w:pPr>
      <w:ind w:left="720"/>
      <w:contextualSpacing/>
    </w:pPr>
  </w:style>
  <w:style w:type="character" w:styleId="Refdecomentario">
    <w:name w:val="annotation reference"/>
    <w:unhideWhenUsed/>
    <w:qFormat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qFormat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rsid w:val="006507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507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73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85E8D"/>
    <w:rPr>
      <w:color w:val="0000FF"/>
      <w:u w:val="single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0408C"/>
    <w:rPr>
      <w:b/>
      <w:bCs/>
    </w:rPr>
  </w:style>
  <w:style w:type="paragraph" w:customStyle="1" w:styleId="Cuadrculamedia21">
    <w:name w:val="Cuadrícula media 21"/>
    <w:link w:val="Cuadrculamedia2Car"/>
    <w:uiPriority w:val="1"/>
    <w:qFormat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uiPriority w:val="1"/>
    <w:locked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qowt-font1-calibri">
    <w:name w:val="qowt-font1-calibri"/>
    <w:rsid w:val="00610F2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77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E5D"/>
    <w:rPr>
      <w:color w:val="800080" w:themeColor="followedHyperlink"/>
      <w:u w:val="single"/>
    </w:rPr>
  </w:style>
  <w:style w:type="character" w:customStyle="1" w:styleId="Ninguno">
    <w:name w:val="Ninguno"/>
    <w:rsid w:val="00E010BC"/>
    <w:rPr>
      <w:lang w:val="es-ES_tradnl"/>
    </w:rPr>
  </w:style>
  <w:style w:type="paragraph" w:customStyle="1" w:styleId="Destacado">
    <w:name w:val="Destacado"/>
    <w:rsid w:val="00E010B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3A7AB2"/>
      <w:sz w:val="32"/>
      <w:szCs w:val="32"/>
      <w:u w:color="000000"/>
      <w:bdr w:val="nil"/>
    </w:rPr>
  </w:style>
  <w:style w:type="paragraph" w:styleId="Encabezado">
    <w:name w:val="header"/>
    <w:basedOn w:val="Normal"/>
    <w:link w:val="EncabezadoCar"/>
    <w:uiPriority w:val="99"/>
    <w:unhideWhenUsed/>
    <w:rsid w:val="00FE6A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A7D"/>
  </w:style>
  <w:style w:type="paragraph" w:styleId="Piedepgina">
    <w:name w:val="footer"/>
    <w:basedOn w:val="Normal"/>
    <w:link w:val="PiedepginaCar"/>
    <w:uiPriority w:val="99"/>
    <w:unhideWhenUsed/>
    <w:rsid w:val="00FE6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A7D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2326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56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otros.infojobs.net/prensa/notas-prensa/3-de-cada-10-espanoles-afirma-que-el-teletrabajo-dificulta-la-desconexion-digital" TargetMode="External"/><Relationship Id="rId13" Type="http://schemas.openxmlformats.org/officeDocument/2006/relationships/hyperlink" Target="https://www.habitaclia.com/" TargetMode="External"/><Relationship Id="rId18" Type="http://schemas.openxmlformats.org/officeDocument/2006/relationships/hyperlink" Target="https://www.adevinta.com/es/spain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otocasa.es/es/" TargetMode="External"/><Relationship Id="rId17" Type="http://schemas.openxmlformats.org/officeDocument/2006/relationships/hyperlink" Target="https://www.milanuncio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tos.coches.net/" TargetMode="External"/><Relationship Id="rId20" Type="http://schemas.openxmlformats.org/officeDocument/2006/relationships/hyperlink" Target="mailto:infojobs@evercom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ches.ne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prensa@infojob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fojobs.ne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3duVC6M7klJN7QMdH8pf5nyqOg==">AMUW2mVKnrMDQG33K7+GtQITN1xjxtYC47Qo2nqpw97tCAwO6nQ0OYZ8/6WGJlVgVsWHUsKZrUpUWocJmBtmHEpNW1Oz/NzjHDk3f9I38+2bojFAyqOUPtE=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Casas</dc:creator>
  <cp:lastModifiedBy>Pablo</cp:lastModifiedBy>
  <cp:revision>2</cp:revision>
  <dcterms:created xsi:type="dcterms:W3CDTF">2020-11-05T16:22:00Z</dcterms:created>
  <dcterms:modified xsi:type="dcterms:W3CDTF">2021-03-18T13:21:00Z</dcterms:modified>
</cp:coreProperties>
</file>