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66982" w:rsidRDefault="001028AB">
      <w:pPr>
        <w:spacing w:before="240" w:after="240"/>
        <w:jc w:val="center"/>
        <w:rPr>
          <w:rFonts w:ascii="Arial" w:eastAsia="Arial" w:hAnsi="Arial" w:cs="Arial"/>
          <w:color w:val="0070C0"/>
          <w:sz w:val="50"/>
          <w:szCs w:val="50"/>
        </w:rPr>
      </w:pPr>
      <w:sdt>
        <w:sdtPr>
          <w:tag w:val="goog_rdk_0"/>
          <w:id w:val="-419484438"/>
        </w:sdtPr>
        <w:sdtEndPr/>
        <w:sdtContent/>
      </w:sdt>
      <w:r>
        <w:rPr>
          <w:rFonts w:ascii="Arial" w:eastAsia="Arial" w:hAnsi="Arial" w:cs="Arial"/>
          <w:color w:val="0070C0"/>
          <w:sz w:val="50"/>
          <w:szCs w:val="50"/>
        </w:rPr>
        <w:t xml:space="preserve">#LosProfesionalesMásDemandados </w:t>
      </w:r>
      <w:r>
        <w:rPr>
          <w:rFonts w:ascii="Arial" w:eastAsia="Arial" w:hAnsi="Arial" w:cs="Arial"/>
          <w:color w:val="0070C0"/>
          <w:sz w:val="50"/>
          <w:szCs w:val="50"/>
        </w:rPr>
        <w:br/>
        <w:t>en enero</w:t>
      </w:r>
    </w:p>
    <w:p w14:paraId="00000002" w14:textId="77777777" w:rsidR="00666982" w:rsidRDefault="006669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00000003" w14:textId="77777777" w:rsidR="00666982" w:rsidRDefault="001028AB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En Comercial lidera el puesto de teleoperador/a y representante comercial; en TIC: desarrollador/a y analista de software; en Atención al cliente: teleoperador/a y asistente en la promoción de ventas; y en Sanidad se han requerido enfermeros/as y auxiliare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s </w:t>
      </w:r>
    </w:p>
    <w:p w14:paraId="00000004" w14:textId="77777777" w:rsidR="00666982" w:rsidRDefault="0066698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00000005" w14:textId="77777777" w:rsidR="00666982" w:rsidRDefault="006669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06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Madrid, a 11 de febrero de 2021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.- </w:t>
      </w:r>
      <w:hyperlink r:id="rId8">
        <w:r>
          <w:rPr>
            <w:rFonts w:ascii="Arial" w:eastAsia="Arial" w:hAnsi="Arial" w:cs="Arial"/>
            <w:color w:val="0070C0"/>
            <w:sz w:val="20"/>
            <w:szCs w:val="20"/>
            <w:highlight w:val="white"/>
            <w:u w:val="single"/>
          </w:rPr>
          <w:t>InfoJobs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plataforma líder en empleo en España,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ha registrado distintos perfiles que actualmente son los más solicitados y protagonizan gran parte de las ofertas de empleo este enero.  </w:t>
      </w:r>
    </w:p>
    <w:p w14:paraId="00000007" w14:textId="77777777" w:rsidR="00666982" w:rsidRDefault="006669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08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hyperlink r:id="rId9">
        <w:r>
          <w:rPr>
            <w:rFonts w:ascii="Arial" w:eastAsia="Arial" w:hAnsi="Arial" w:cs="Arial"/>
            <w:color w:val="0070C0"/>
            <w:sz w:val="20"/>
            <w:szCs w:val="20"/>
            <w:highlight w:val="white"/>
            <w:u w:val="single"/>
          </w:rPr>
          <w:t>Las vacantes de empleo crecieron un 7%</w:t>
        </w:r>
      </w:hyperlink>
      <w:r>
        <w:rPr>
          <w:rFonts w:ascii="Arial" w:eastAsia="Arial" w:hAnsi="Arial" w:cs="Arial"/>
          <w:color w:val="0070C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el pasado mes en comparación con diciembre. Entre las categorías profesionales que más </w:t>
      </w:r>
      <w:r>
        <w:rPr>
          <w:rFonts w:ascii="Arial" w:eastAsia="Arial" w:hAnsi="Arial" w:cs="Arial"/>
          <w:sz w:val="20"/>
          <w:szCs w:val="20"/>
          <w:highlight w:val="white"/>
        </w:rPr>
        <w:t>vacantes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acumularon están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Comercial y ventas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con el 26% del total,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Informática y telecomunicaciones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con el 11%,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y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Atención a clientes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con el 10%. Además,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Sanidad y salud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es otro sector que sigue la tendencia positiva de los últimos meses registrando un leve crecimiento (+2%). Dentro de estas categorías,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#LosProfesionalesMásDemandados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en InfoJobs han estado vinculad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os con el e-commerce y la logística para hacer frente al auge de la demanda online. Asimismo, la transición hacia el mundo digital está generando más oportunidades en los sectores de la Tecnología y la Información y, finalmente, la llegada de la tercera ol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a de contagios de la </w:t>
      </w:r>
      <w:r>
        <w:rPr>
          <w:rFonts w:ascii="Arial" w:eastAsia="Arial" w:hAnsi="Arial" w:cs="Arial"/>
          <w:sz w:val="20"/>
          <w:szCs w:val="20"/>
          <w:highlight w:val="white"/>
        </w:rPr>
        <w:t>COVID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-19 ha registrado un repunte en la contratación de profesionales sanitarios. </w:t>
      </w:r>
    </w:p>
    <w:p w14:paraId="00000009" w14:textId="77777777" w:rsidR="00666982" w:rsidRDefault="006669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0A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Comercial y ventas, lidera la contratación de perfiles</w:t>
      </w:r>
    </w:p>
    <w:p w14:paraId="0000000B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Este sector es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tradicionalmente el que genera más oportunidades laborales en España y, en enero, lidera una vez más la publicación de vacantes en la plataforma de InfoJobs.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Teleoperador/a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con casi 13.000 puestos, es el perfil más demandado tanto a nivel general como dentro de la categoría Comercial y ventas. A este, le siguen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representante comercial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con 8.436 vacantes, y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agente inmobiliario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con 4.396 puestos. También se han contratado ot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ros perfiles como asistente de promoción de ventas y corredor/a de seguros. </w:t>
      </w:r>
    </w:p>
    <w:p w14:paraId="0000000C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5"/>
        <w:tblW w:w="5962" w:type="dxa"/>
        <w:tblInd w:w="2127" w:type="dxa"/>
        <w:tblLayout w:type="fixed"/>
        <w:tblLook w:val="0400" w:firstRow="0" w:lastRow="0" w:firstColumn="0" w:lastColumn="0" w:noHBand="0" w:noVBand="1"/>
      </w:tblPr>
      <w:tblGrid>
        <w:gridCol w:w="4526"/>
        <w:gridCol w:w="1436"/>
      </w:tblGrid>
      <w:tr w:rsidR="00666982" w14:paraId="5A4FD618" w14:textId="77777777">
        <w:trPr>
          <w:gridAfter w:val="1"/>
          <w:wAfter w:w="1436" w:type="dxa"/>
          <w:trHeight w:val="312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0D" w14:textId="77777777" w:rsidR="00666982" w:rsidRDefault="001028A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Top 5 profesionales en Comercial y ventas</w:t>
            </w:r>
          </w:p>
        </w:tc>
      </w:tr>
      <w:tr w:rsidR="00666982" w14:paraId="43D53BB9" w14:textId="77777777">
        <w:trPr>
          <w:trHeight w:val="71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0E" w14:textId="77777777" w:rsidR="00666982" w:rsidRDefault="006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0F" w14:textId="77777777" w:rsidR="00666982" w:rsidRDefault="0066698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66982" w14:paraId="6660FC59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0" w14:textId="77777777" w:rsidR="00666982" w:rsidRDefault="001028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Teleoperador/a</w:t>
            </w:r>
          </w:p>
        </w:tc>
        <w:tc>
          <w:tcPr>
            <w:tcW w:w="1436" w:type="dxa"/>
            <w:vAlign w:val="center"/>
          </w:tcPr>
          <w:p w14:paraId="00000011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31BDE1DC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2" w14:textId="77777777" w:rsidR="00666982" w:rsidRDefault="001028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Representante comercial</w:t>
            </w:r>
          </w:p>
        </w:tc>
        <w:tc>
          <w:tcPr>
            <w:tcW w:w="1436" w:type="dxa"/>
            <w:vAlign w:val="center"/>
          </w:tcPr>
          <w:p w14:paraId="00000013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5C8E949B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4" w14:textId="77777777" w:rsidR="00666982" w:rsidRDefault="001028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Agente inmobiliario</w:t>
            </w:r>
          </w:p>
        </w:tc>
        <w:tc>
          <w:tcPr>
            <w:tcW w:w="1436" w:type="dxa"/>
            <w:vAlign w:val="center"/>
          </w:tcPr>
          <w:p w14:paraId="00000015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64E7D66C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6" w14:textId="77777777" w:rsidR="00666982" w:rsidRDefault="001028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Asistente de promoción de ventas</w:t>
            </w:r>
          </w:p>
        </w:tc>
        <w:tc>
          <w:tcPr>
            <w:tcW w:w="1436" w:type="dxa"/>
            <w:vAlign w:val="center"/>
          </w:tcPr>
          <w:p w14:paraId="00000017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2D19DE74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018" w14:textId="77777777" w:rsidR="00666982" w:rsidRDefault="001028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Corredor/a de seguros</w:t>
            </w:r>
          </w:p>
        </w:tc>
        <w:tc>
          <w:tcPr>
            <w:tcW w:w="1436" w:type="dxa"/>
            <w:vAlign w:val="center"/>
          </w:tcPr>
          <w:p w14:paraId="00000019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</w:tbl>
    <w:p w14:paraId="0000001A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1B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1C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lastRenderedPageBreak/>
        <w:t xml:space="preserve">Informática y telecomunicaciones: el mundo digital se consolida y cobra fuerza </w:t>
      </w:r>
    </w:p>
    <w:p w14:paraId="0000001D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La transición que estamos viviendo del mundo físico al mundo digital se está consolidando a raíz de las nuevas necesidades derivadas de la pandemia. Además, la irrupción de nuevas tecnologías está teniendo un impacto en las organizaciones que requieren de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profesionales formados en las carreras STEM (Ciencias, Tecnología, Ingeniería, Matemáticas) y las TIC. </w:t>
      </w:r>
    </w:p>
    <w:p w14:paraId="0000001E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1F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En enero, la plataforma registró más de 3.680 vacantes de empleo bajo el cargo de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desarrollador/a de software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seguido por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analista de software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con 1.2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76 vacantes y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administrador/a de sistemas TIC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con más de 800 puestos. Otros perfiles que también han generado contrataciones son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consultor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/a TIC y técnico/a de redes. </w:t>
      </w:r>
    </w:p>
    <w:p w14:paraId="00000020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21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6"/>
        <w:tblW w:w="5962" w:type="dxa"/>
        <w:tblInd w:w="2127" w:type="dxa"/>
        <w:tblLayout w:type="fixed"/>
        <w:tblLook w:val="0400" w:firstRow="0" w:lastRow="0" w:firstColumn="0" w:lastColumn="0" w:noHBand="0" w:noVBand="1"/>
      </w:tblPr>
      <w:tblGrid>
        <w:gridCol w:w="4526"/>
        <w:gridCol w:w="1436"/>
      </w:tblGrid>
      <w:tr w:rsidR="00666982" w14:paraId="5477CD39" w14:textId="77777777">
        <w:trPr>
          <w:gridAfter w:val="1"/>
          <w:wAfter w:w="1436" w:type="dxa"/>
          <w:trHeight w:val="312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22" w14:textId="77777777" w:rsidR="00666982" w:rsidRDefault="001028A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Top 5 profesionales en TIC</w:t>
            </w:r>
          </w:p>
        </w:tc>
      </w:tr>
      <w:tr w:rsidR="00666982" w14:paraId="1308EFAF" w14:textId="77777777">
        <w:trPr>
          <w:trHeight w:val="71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23" w14:textId="77777777" w:rsidR="00666982" w:rsidRDefault="006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4" w14:textId="77777777" w:rsidR="00666982" w:rsidRDefault="0066698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66982" w14:paraId="58DFB63C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5" w14:textId="77777777" w:rsidR="00666982" w:rsidRDefault="001028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Desarrollador/a software </w:t>
            </w:r>
          </w:p>
        </w:tc>
        <w:tc>
          <w:tcPr>
            <w:tcW w:w="1436" w:type="dxa"/>
            <w:vAlign w:val="center"/>
          </w:tcPr>
          <w:p w14:paraId="00000026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195EF557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7" w14:textId="77777777" w:rsidR="00666982" w:rsidRDefault="001028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Analista Software</w:t>
            </w:r>
          </w:p>
        </w:tc>
        <w:tc>
          <w:tcPr>
            <w:tcW w:w="1436" w:type="dxa"/>
            <w:vAlign w:val="center"/>
          </w:tcPr>
          <w:p w14:paraId="00000028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6AF6C067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9" w14:textId="77777777" w:rsidR="00666982" w:rsidRDefault="001028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Administrador/a sistemas Tic </w:t>
            </w:r>
          </w:p>
        </w:tc>
        <w:tc>
          <w:tcPr>
            <w:tcW w:w="1436" w:type="dxa"/>
            <w:vAlign w:val="center"/>
          </w:tcPr>
          <w:p w14:paraId="0000002A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1740194B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B" w14:textId="77777777" w:rsidR="00666982" w:rsidRDefault="001028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Consultor/a Tic </w:t>
            </w:r>
          </w:p>
        </w:tc>
        <w:tc>
          <w:tcPr>
            <w:tcW w:w="1436" w:type="dxa"/>
            <w:vAlign w:val="center"/>
          </w:tcPr>
          <w:p w14:paraId="0000002C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11171F0D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D" w14:textId="77777777" w:rsidR="00666982" w:rsidRDefault="001028A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Técnico/a redes TIC </w:t>
            </w:r>
          </w:p>
        </w:tc>
        <w:tc>
          <w:tcPr>
            <w:tcW w:w="1436" w:type="dxa"/>
            <w:vAlign w:val="center"/>
          </w:tcPr>
          <w:p w14:paraId="0000002E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</w:tbl>
    <w:p w14:paraId="0000002F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30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1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2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Teleoperador/a, lidera en la categoría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Atención a clientes </w:t>
      </w:r>
    </w:p>
    <w:p w14:paraId="00000033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enero, se </w:t>
      </w:r>
      <w:r>
        <w:rPr>
          <w:rFonts w:ascii="Arial" w:eastAsia="Arial" w:hAnsi="Arial" w:cs="Arial"/>
          <w:sz w:val="20"/>
          <w:szCs w:val="20"/>
        </w:rPr>
        <w:t>publicaron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InfoJobs 6.092 puestos con el cargo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color w:val="000000"/>
          <w:sz w:val="20"/>
          <w:szCs w:val="20"/>
        </w:rPr>
        <w:t>eleoperador/a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Seguido por </w:t>
      </w:r>
      <w:r>
        <w:rPr>
          <w:rFonts w:ascii="Arial" w:eastAsia="Arial" w:hAnsi="Arial" w:cs="Arial"/>
          <w:b/>
          <w:sz w:val="20"/>
          <w:szCs w:val="20"/>
        </w:rPr>
        <w:t>as</w:t>
      </w:r>
      <w:r>
        <w:rPr>
          <w:rFonts w:ascii="Arial" w:eastAsia="Arial" w:hAnsi="Arial" w:cs="Arial"/>
          <w:b/>
          <w:color w:val="000000"/>
          <w:sz w:val="20"/>
          <w:szCs w:val="20"/>
        </w:rPr>
        <w:t>istente de promoción de ventas</w:t>
      </w:r>
      <w:r>
        <w:rPr>
          <w:rFonts w:ascii="Arial" w:eastAsia="Arial" w:hAnsi="Arial" w:cs="Arial"/>
          <w:color w:val="000000"/>
          <w:sz w:val="20"/>
          <w:szCs w:val="20"/>
        </w:rPr>
        <w:t>, con 1.1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color w:val="000000"/>
          <w:sz w:val="20"/>
          <w:szCs w:val="20"/>
        </w:rPr>
        <w:t>endedor/a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89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puestos,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gente de servicio de atención al cliente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85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vacantes, </w:t>
      </w:r>
      <w:r>
        <w:rPr>
          <w:rFonts w:ascii="Arial" w:eastAsia="Arial" w:hAnsi="Arial" w:cs="Arial"/>
          <w:color w:val="000000"/>
          <w:sz w:val="20"/>
          <w:szCs w:val="20"/>
        </w:rPr>
        <w:t>y, en menor medida,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encuestador/a de mercado. </w:t>
      </w:r>
    </w:p>
    <w:p w14:paraId="00000034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35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7"/>
        <w:tblW w:w="5962" w:type="dxa"/>
        <w:tblInd w:w="2127" w:type="dxa"/>
        <w:tblLayout w:type="fixed"/>
        <w:tblLook w:val="0400" w:firstRow="0" w:lastRow="0" w:firstColumn="0" w:lastColumn="0" w:noHBand="0" w:noVBand="1"/>
      </w:tblPr>
      <w:tblGrid>
        <w:gridCol w:w="4526"/>
        <w:gridCol w:w="1436"/>
      </w:tblGrid>
      <w:tr w:rsidR="00666982" w14:paraId="3F0EF02B" w14:textId="77777777">
        <w:trPr>
          <w:gridAfter w:val="1"/>
          <w:wAfter w:w="1436" w:type="dxa"/>
          <w:trHeight w:val="312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36" w14:textId="77777777" w:rsidR="00666982" w:rsidRDefault="001028A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Top 5 profesionales en Atención a clientes</w:t>
            </w:r>
          </w:p>
        </w:tc>
      </w:tr>
      <w:tr w:rsidR="00666982" w14:paraId="3B206F2C" w14:textId="77777777">
        <w:trPr>
          <w:trHeight w:val="71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37" w14:textId="77777777" w:rsidR="00666982" w:rsidRDefault="006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8" w14:textId="77777777" w:rsidR="00666982" w:rsidRDefault="0066698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66982" w14:paraId="6655C4BF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9" w14:textId="77777777" w:rsidR="00666982" w:rsidRDefault="001028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Teleoperador/a </w:t>
            </w:r>
          </w:p>
        </w:tc>
        <w:tc>
          <w:tcPr>
            <w:tcW w:w="1436" w:type="dxa"/>
            <w:vAlign w:val="center"/>
          </w:tcPr>
          <w:p w14:paraId="0000003A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0369C475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B" w14:textId="77777777" w:rsidR="00666982" w:rsidRDefault="001028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Asistente de promoción de ventas</w:t>
            </w:r>
          </w:p>
        </w:tc>
        <w:tc>
          <w:tcPr>
            <w:tcW w:w="1436" w:type="dxa"/>
            <w:vAlign w:val="center"/>
          </w:tcPr>
          <w:p w14:paraId="0000003C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0BA273A8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D" w14:textId="77777777" w:rsidR="00666982" w:rsidRDefault="001028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Vendedor/a </w:t>
            </w:r>
          </w:p>
        </w:tc>
        <w:tc>
          <w:tcPr>
            <w:tcW w:w="1436" w:type="dxa"/>
            <w:vAlign w:val="center"/>
          </w:tcPr>
          <w:p w14:paraId="0000003E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723B9B84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F" w14:textId="77777777" w:rsidR="00666982" w:rsidRDefault="001028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Agente servicio atención al cliente</w:t>
            </w:r>
          </w:p>
        </w:tc>
        <w:tc>
          <w:tcPr>
            <w:tcW w:w="1436" w:type="dxa"/>
            <w:vAlign w:val="center"/>
          </w:tcPr>
          <w:p w14:paraId="00000040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73CA0C96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1" w14:textId="77777777" w:rsidR="00666982" w:rsidRDefault="001028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Encuestador/a estudio mercado </w:t>
            </w:r>
          </w:p>
        </w:tc>
        <w:tc>
          <w:tcPr>
            <w:tcW w:w="1436" w:type="dxa"/>
            <w:vAlign w:val="center"/>
          </w:tcPr>
          <w:p w14:paraId="00000042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</w:tbl>
    <w:p w14:paraId="00000043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00000044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6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7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8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49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lastRenderedPageBreak/>
        <w:t>Sanidad y salud, mantiene la tendencia creciente en la demanda de profesionales</w:t>
      </w:r>
    </w:p>
    <w:p w14:paraId="0000004A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Como hemos comentado anteriormente, la categoría de Sanidad y salud </w:t>
      </w:r>
      <w:r>
        <w:rPr>
          <w:rFonts w:ascii="Arial" w:eastAsia="Arial" w:hAnsi="Arial" w:cs="Arial"/>
          <w:sz w:val="20"/>
          <w:szCs w:val="20"/>
        </w:rPr>
        <w:t>continúa al alza por la crisis sanitaria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enero, en InfoJobs se</w:t>
      </w:r>
      <w:r>
        <w:rPr>
          <w:rFonts w:ascii="Arial" w:eastAsia="Arial" w:hAnsi="Arial" w:cs="Arial"/>
          <w:sz w:val="20"/>
          <w:szCs w:val="20"/>
        </w:rPr>
        <w:t xml:space="preserve"> publicaron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2.680 </w:t>
      </w:r>
      <w:r>
        <w:rPr>
          <w:rFonts w:ascii="Arial" w:eastAsia="Arial" w:hAnsi="Arial" w:cs="Arial"/>
          <w:sz w:val="20"/>
          <w:szCs w:val="20"/>
        </w:rPr>
        <w:t>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>nfermero/a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Seguido por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uxiliar de enfermería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con 585 puestos, 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color w:val="000000"/>
          <w:sz w:val="20"/>
          <w:szCs w:val="20"/>
        </w:rPr>
        <w:t>édico/a especialista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42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vacantes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dontólogo/a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puestos, y en menor medida, </w:t>
      </w:r>
      <w:r>
        <w:rPr>
          <w:rFonts w:ascii="Arial" w:eastAsia="Arial" w:hAnsi="Arial" w:cs="Arial"/>
          <w:sz w:val="20"/>
          <w:szCs w:val="20"/>
          <w:highlight w:val="white"/>
        </w:rPr>
        <w:t>higienista bucodental.</w:t>
      </w:r>
    </w:p>
    <w:p w14:paraId="0000004B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8"/>
        <w:tblW w:w="5962" w:type="dxa"/>
        <w:tblInd w:w="2127" w:type="dxa"/>
        <w:tblLayout w:type="fixed"/>
        <w:tblLook w:val="0400" w:firstRow="0" w:lastRow="0" w:firstColumn="0" w:lastColumn="0" w:noHBand="0" w:noVBand="1"/>
      </w:tblPr>
      <w:tblGrid>
        <w:gridCol w:w="4526"/>
        <w:gridCol w:w="1436"/>
      </w:tblGrid>
      <w:tr w:rsidR="00666982" w14:paraId="2951DD97" w14:textId="77777777">
        <w:trPr>
          <w:gridAfter w:val="1"/>
          <w:wAfter w:w="1436" w:type="dxa"/>
          <w:trHeight w:val="312"/>
        </w:trPr>
        <w:tc>
          <w:tcPr>
            <w:tcW w:w="4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C" w14:textId="77777777" w:rsidR="00666982" w:rsidRDefault="001028AB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Top 5 profesionales en Sanidad y salud</w:t>
            </w:r>
          </w:p>
        </w:tc>
      </w:tr>
      <w:tr w:rsidR="00666982" w14:paraId="44AEB083" w14:textId="77777777">
        <w:trPr>
          <w:trHeight w:val="71"/>
        </w:trPr>
        <w:tc>
          <w:tcPr>
            <w:tcW w:w="4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00004D" w14:textId="77777777" w:rsidR="00666982" w:rsidRDefault="00666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E" w14:textId="77777777" w:rsidR="00666982" w:rsidRDefault="00666982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66982" w14:paraId="7CB67671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F" w14:textId="77777777" w:rsidR="00666982" w:rsidRDefault="001028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Enfermero/a Enfermera</w:t>
            </w:r>
          </w:p>
        </w:tc>
        <w:tc>
          <w:tcPr>
            <w:tcW w:w="1436" w:type="dxa"/>
            <w:vAlign w:val="center"/>
          </w:tcPr>
          <w:p w14:paraId="00000050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7EEAB99E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1" w14:textId="77777777" w:rsidR="00666982" w:rsidRDefault="001028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Auxiliar de enfermería</w:t>
            </w:r>
          </w:p>
        </w:tc>
        <w:tc>
          <w:tcPr>
            <w:tcW w:w="1436" w:type="dxa"/>
            <w:vAlign w:val="center"/>
          </w:tcPr>
          <w:p w14:paraId="00000052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0DDFEA3F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3" w14:textId="77777777" w:rsidR="00666982" w:rsidRDefault="001028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Médico/a especialista </w:t>
            </w:r>
          </w:p>
        </w:tc>
        <w:tc>
          <w:tcPr>
            <w:tcW w:w="1436" w:type="dxa"/>
            <w:vAlign w:val="center"/>
          </w:tcPr>
          <w:p w14:paraId="00000054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622A3280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5" w14:textId="77777777" w:rsidR="00666982" w:rsidRDefault="001028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Odontólogo/a </w:t>
            </w:r>
          </w:p>
        </w:tc>
        <w:tc>
          <w:tcPr>
            <w:tcW w:w="1436" w:type="dxa"/>
            <w:vAlign w:val="center"/>
          </w:tcPr>
          <w:p w14:paraId="00000056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  <w:tr w:rsidR="00666982" w14:paraId="07E03A83" w14:textId="7777777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7" w14:textId="77777777" w:rsidR="00666982" w:rsidRDefault="001028AB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Higienista bucodental</w:t>
            </w:r>
          </w:p>
        </w:tc>
        <w:tc>
          <w:tcPr>
            <w:tcW w:w="1436" w:type="dxa"/>
            <w:vAlign w:val="center"/>
          </w:tcPr>
          <w:p w14:paraId="00000058" w14:textId="77777777" w:rsidR="00666982" w:rsidRDefault="00666982">
            <w:pPr>
              <w:rPr>
                <w:b/>
                <w:sz w:val="20"/>
                <w:szCs w:val="20"/>
              </w:rPr>
            </w:pPr>
          </w:p>
        </w:tc>
      </w:tr>
    </w:tbl>
    <w:p w14:paraId="00000059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A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5B" w14:textId="77777777" w:rsidR="00666982" w:rsidRDefault="006669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0000005C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Información adicional:</w:t>
      </w:r>
    </w:p>
    <w:p w14:paraId="0000005D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Para acceder al histórico de otros meses puedes dirigirte a </w:t>
      </w:r>
      <w:hyperlink r:id="rId10">
        <w:r>
          <w:rPr>
            <w:rFonts w:ascii="Arial" w:eastAsia="Arial" w:hAnsi="Arial" w:cs="Arial"/>
            <w:color w:val="005180"/>
            <w:sz w:val="20"/>
            <w:szCs w:val="20"/>
            <w:highlight w:val="white"/>
            <w:u w:val="single"/>
          </w:rPr>
          <w:t>Indicadores y #LosProfesionalesMásBuscados de InfoJobs</w:t>
        </w:r>
      </w:hyperlink>
      <w:r>
        <w:rPr>
          <w:rFonts w:ascii="Arial" w:eastAsia="Arial" w:hAnsi="Arial" w:cs="Arial"/>
          <w:color w:val="005180"/>
          <w:sz w:val="20"/>
          <w:szCs w:val="20"/>
          <w:highlight w:val="white"/>
          <w:u w:val="single"/>
        </w:rPr>
        <w:t>.</w:t>
      </w:r>
    </w:p>
    <w:p w14:paraId="0000005E" w14:textId="77777777" w:rsidR="00666982" w:rsidRDefault="00666982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</w:p>
    <w:p w14:paraId="0000005F" w14:textId="77777777" w:rsidR="00666982" w:rsidRDefault="001028AB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>Sobre InfoJobs</w:t>
      </w:r>
    </w:p>
    <w:p w14:paraId="00000060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3,3 millones de posiciones vacantes. Cuenta cada mes con 40 millones de visitas (el 85% proceden de disposi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tivos móviles) y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2019).</w:t>
      </w:r>
    </w:p>
    <w:p w14:paraId="00000061" w14:textId="77777777" w:rsidR="00666982" w:rsidRDefault="00666982"/>
    <w:p w14:paraId="00000062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 y una de las principales empresas del sector tecnológico del país, con más de 18 millones de usuarios al mes en sus plataformas de los sectores inmobiliario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00000063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00000064" w14:textId="77777777" w:rsidR="00666982" w:rsidRDefault="001028AB">
      <w:pPr>
        <w:spacing w:line="252" w:lineRule="auto"/>
        <w:rPr>
          <w:rFonts w:ascii="Arial" w:eastAsia="Arial" w:hAnsi="Arial" w:cs="Arial"/>
          <w:color w:val="808080"/>
          <w:sz w:val="16"/>
          <w:szCs w:val="16"/>
        </w:rPr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en España, antes Schibsted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Spain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cuenta con una plantilla de 1.100 empleados. Además de en España,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resencia en 12 países más de Europa y América Latina. El conjunto de sus plataformas locales recibe un promedio de 1.500 millones de visitas cada mes. Más información en 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0000065" w14:textId="77777777" w:rsidR="00666982" w:rsidRDefault="001028AB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66" w14:textId="77777777" w:rsidR="00666982" w:rsidRDefault="001028AB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00000067" w14:textId="77777777" w:rsidR="00666982" w:rsidRDefault="001028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proofErr w:type="gramEnd"/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 Pablo Gutiérrez / Albert Cuesta</w:t>
      </w:r>
    </w:p>
    <w:p w14:paraId="00000068" w14:textId="77777777" w:rsidR="00666982" w:rsidRDefault="001028AB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7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8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0000069" w14:textId="77777777" w:rsidR="00666982" w:rsidRDefault="001028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14:paraId="0000006A" w14:textId="77777777" w:rsidR="00666982" w:rsidRDefault="0066698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6669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FBB9" w14:textId="77777777" w:rsidR="00000000" w:rsidRDefault="001028AB">
      <w:r>
        <w:separator/>
      </w:r>
    </w:p>
  </w:endnote>
  <w:endnote w:type="continuationSeparator" w:id="0">
    <w:p w14:paraId="5CF01B37" w14:textId="77777777" w:rsidR="00000000" w:rsidRDefault="0010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2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F059" w14:textId="77777777" w:rsidR="00000000" w:rsidRDefault="001028AB">
      <w:r>
        <w:separator/>
      </w:r>
    </w:p>
  </w:footnote>
  <w:footnote w:type="continuationSeparator" w:id="0">
    <w:p w14:paraId="0F9D54A2" w14:textId="77777777" w:rsidR="00000000" w:rsidRDefault="0010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666982" w:rsidRDefault="001028AB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l="0" t="0" r="0" b="0"/>
          <wp:wrapSquare wrapText="bothSides" distT="152400" distB="152400" distL="152400" distR="15240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919191"/>
      </w:rPr>
      <w:t>Los perfiles más solicitados en enero de 2021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-557528</wp:posOffset>
          </wp:positionH>
          <wp:positionV relativeFrom="paragraph">
            <wp:posOffset>-160653</wp:posOffset>
          </wp:positionV>
          <wp:extent cx="1310640" cy="361950"/>
          <wp:effectExtent l="0" t="0" r="0" b="0"/>
          <wp:wrapSquare wrapText="bothSides" distT="0" distB="0" distL="114300" distR="11430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C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919191"/>
        <w:sz w:val="28"/>
        <w:szCs w:val="28"/>
      </w:rPr>
    </w:pPr>
  </w:p>
  <w:p w14:paraId="0000006D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77777777" w:rsidR="00666982" w:rsidRDefault="00666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F1F"/>
    <w:multiLevelType w:val="multilevel"/>
    <w:tmpl w:val="B35C43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30DAE"/>
    <w:multiLevelType w:val="multilevel"/>
    <w:tmpl w:val="D8024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DA0A09"/>
    <w:multiLevelType w:val="multilevel"/>
    <w:tmpl w:val="38EE4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684D1C"/>
    <w:multiLevelType w:val="multilevel"/>
    <w:tmpl w:val="C01A2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E83418"/>
    <w:multiLevelType w:val="multilevel"/>
    <w:tmpl w:val="62748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82"/>
    <w:rsid w:val="001028AB"/>
    <w:rsid w:val="006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199D-5D17-4FC6-A86E-B2D0066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c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u w:color="27AAE1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ind w:left="720"/>
      <w:contextualSpacing/>
    </w:pPr>
    <w:rPr>
      <w:lang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6B1E20"/>
    <w:pPr>
      <w:spacing w:line="360" w:lineRule="auto"/>
      <w:jc w:val="both"/>
    </w:pPr>
    <w:rPr>
      <w:rFonts w:ascii="Arial" w:eastAsia="Calibri" w:hAnsi="Arial" w:cs="Arial"/>
      <w:iCs/>
      <w:sz w:val="20"/>
      <w:szCs w:val="20"/>
      <w:shd w:val="clear" w:color="auto" w:fill="FFFFFF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6B1E20"/>
    <w:rPr>
      <w:rFonts w:ascii="Arial" w:eastAsia="Calibri" w:hAnsi="Arial" w:cs="Arial"/>
      <w:iCs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25B68"/>
    <w:pPr>
      <w:spacing w:before="100" w:beforeAutospacing="1" w:after="100" w:after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notaalpie">
    <w:name w:val="footnote reference"/>
    <w:uiPriority w:val="99"/>
    <w:semiHidden/>
    <w:rsid w:val="003007DD"/>
    <w:rPr>
      <w:rFonts w:cs="Times New Roman"/>
      <w:vertAlign w:val="superscript"/>
    </w:r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A50628"/>
    <w:rPr>
      <w:b/>
      <w:bCs/>
    </w:r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27D89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mailto:infojobs@evercom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abitaclia.com/" TargetMode="External"/><Relationship Id="rId17" Type="http://schemas.openxmlformats.org/officeDocument/2006/relationships/hyperlink" Target="mailto:prensa@infojob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es/spai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otos.coches.net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nosotros.infojobs.net/prensa/indicadores-infojob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/las-vacantes-de-empleo-en-infojobs-crecen-un-7-en-enero" TargetMode="External"/><Relationship Id="rId14" Type="http://schemas.openxmlformats.org/officeDocument/2006/relationships/hyperlink" Target="https://www.coches.net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Qds2aSeryho9fAYvKyW+ANCRQ==">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Albert Cuesta</cp:lastModifiedBy>
  <cp:revision>2</cp:revision>
  <dcterms:created xsi:type="dcterms:W3CDTF">2021-02-10T15:15:00Z</dcterms:created>
  <dcterms:modified xsi:type="dcterms:W3CDTF">2021-02-11T10:40:00Z</dcterms:modified>
</cp:coreProperties>
</file>