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5FC951E8"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927D5D">
        <w:rPr>
          <w:color w:val="919191"/>
          <w:sz w:val="22"/>
          <w:szCs w:val="22"/>
          <w:lang w:val="es-ES_tradnl"/>
        </w:rPr>
        <w:t>enero</w:t>
      </w:r>
      <w:r w:rsidR="00A52A37">
        <w:rPr>
          <w:color w:val="919191"/>
          <w:sz w:val="22"/>
          <w:szCs w:val="22"/>
          <w:lang w:val="es-ES_tradnl"/>
        </w:rPr>
        <w:t xml:space="preserve"> </w:t>
      </w:r>
      <w:r w:rsidRPr="00042746">
        <w:rPr>
          <w:color w:val="919191"/>
          <w:sz w:val="22"/>
          <w:szCs w:val="22"/>
          <w:lang w:val="es-ES_tradnl"/>
        </w:rPr>
        <w:t>de 202</w:t>
      </w:r>
      <w:r w:rsidR="00927D5D">
        <w:rPr>
          <w:color w:val="919191"/>
          <w:sz w:val="22"/>
          <w:szCs w:val="22"/>
          <w:lang w:val="es-ES_tradnl"/>
        </w:rPr>
        <w:t>1</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2DACD711" w14:textId="77777777" w:rsidR="00927D5D" w:rsidRPr="00927D5D" w:rsidRDefault="00927D5D" w:rsidP="00927D5D">
      <w:pPr>
        <w:spacing w:before="100" w:beforeAutospacing="1" w:after="100" w:afterAutospacing="1"/>
        <w:jc w:val="center"/>
        <w:rPr>
          <w:rFonts w:ascii="Arial" w:eastAsia="Arial Unicode MS" w:hAnsi="Arial" w:cs="Arial Unicode MS"/>
          <w:color w:val="0070C0"/>
          <w:sz w:val="50"/>
          <w:szCs w:val="50"/>
          <w:u w:color="27AAE1"/>
          <w:bdr w:val="nil"/>
          <w:lang w:eastAsia="es-ES"/>
        </w:rPr>
      </w:pPr>
      <w:r w:rsidRPr="00927D5D">
        <w:rPr>
          <w:rFonts w:ascii="Arial" w:eastAsia="Arial Unicode MS" w:hAnsi="Arial" w:cs="Arial Unicode MS"/>
          <w:color w:val="0070C0"/>
          <w:sz w:val="50"/>
          <w:szCs w:val="50"/>
          <w:u w:color="27AAE1"/>
          <w:bdr w:val="nil"/>
          <w:lang w:eastAsia="es-ES"/>
        </w:rPr>
        <w:t>La estabilización de la afiliación y la brecha de los 300.000 empleos</w:t>
      </w:r>
    </w:p>
    <w:p w14:paraId="18C01BD6" w14:textId="77777777" w:rsidR="00927D5D" w:rsidRDefault="00927D5D" w:rsidP="00927D5D">
      <w:pPr>
        <w:spacing w:before="100" w:beforeAutospacing="1" w:after="100" w:afterAutospacing="1"/>
        <w:rPr>
          <w:rFonts w:ascii="Arial" w:hAnsi="Arial" w:cs="Arial"/>
          <w:b/>
          <w:bCs/>
          <w:sz w:val="20"/>
          <w:szCs w:val="20"/>
        </w:rPr>
      </w:pPr>
    </w:p>
    <w:p w14:paraId="12DC4650" w14:textId="470E4002" w:rsidR="00927D5D" w:rsidRDefault="008E0D95" w:rsidP="00927D5D">
      <w:pPr>
        <w:spacing w:before="100" w:beforeAutospacing="1" w:after="100" w:afterAutospacing="1"/>
        <w:rPr>
          <w:sz w:val="24"/>
        </w:rPr>
      </w:pPr>
      <w:r w:rsidRPr="00714276">
        <w:rPr>
          <w:rFonts w:ascii="Arial" w:hAnsi="Arial" w:cs="Arial"/>
          <w:b/>
          <w:bCs/>
          <w:sz w:val="20"/>
          <w:szCs w:val="20"/>
        </w:rPr>
        <w:t xml:space="preserve">Madrid, </w:t>
      </w:r>
      <w:r w:rsidR="00927D5D">
        <w:rPr>
          <w:rFonts w:ascii="Arial" w:hAnsi="Arial" w:cs="Arial"/>
          <w:b/>
          <w:bCs/>
          <w:sz w:val="20"/>
          <w:szCs w:val="20"/>
        </w:rPr>
        <w:t>2 de febrero</w:t>
      </w:r>
      <w:r w:rsidR="00357400">
        <w:rPr>
          <w:rFonts w:ascii="Arial" w:hAnsi="Arial" w:cs="Arial"/>
          <w:b/>
          <w:bCs/>
          <w:sz w:val="20"/>
          <w:szCs w:val="20"/>
        </w:rPr>
        <w:t xml:space="preserve"> de</w:t>
      </w:r>
      <w:r w:rsidR="00A52A37">
        <w:rPr>
          <w:rFonts w:ascii="Arial" w:hAnsi="Arial" w:cs="Arial"/>
          <w:b/>
          <w:bCs/>
          <w:sz w:val="20"/>
          <w:szCs w:val="20"/>
        </w:rPr>
        <w:t xml:space="preserve"> </w:t>
      </w:r>
      <w:r w:rsidRPr="00714276">
        <w:rPr>
          <w:rFonts w:ascii="Arial" w:hAnsi="Arial" w:cs="Arial"/>
          <w:b/>
          <w:bCs/>
          <w:sz w:val="20"/>
          <w:szCs w:val="20"/>
        </w:rPr>
        <w:t>202</w:t>
      </w:r>
      <w:r w:rsidR="005A0C9A">
        <w:rPr>
          <w:rFonts w:ascii="Arial" w:hAnsi="Arial" w:cs="Arial"/>
          <w:b/>
          <w:bCs/>
          <w:sz w:val="20"/>
          <w:szCs w:val="20"/>
        </w:rPr>
        <w:t>1</w:t>
      </w:r>
      <w:r w:rsidRPr="008E0D95">
        <w:rPr>
          <w:rFonts w:ascii="Arial" w:hAnsi="Arial" w:cs="Arial"/>
          <w:sz w:val="20"/>
          <w:szCs w:val="20"/>
        </w:rPr>
        <w:t>.-</w:t>
      </w:r>
      <w:r w:rsidRPr="007E04D2">
        <w:rPr>
          <w:rFonts w:ascii="Arial" w:hAnsi="Arial" w:cs="Arial"/>
          <w:sz w:val="20"/>
          <w:szCs w:val="20"/>
        </w:rPr>
        <w:t xml:space="preserve"> </w:t>
      </w:r>
      <w:bookmarkStart w:id="0" w:name="_Hlk63155190"/>
      <w:r w:rsidR="00927D5D">
        <w:rPr>
          <w:sz w:val="24"/>
        </w:rPr>
        <w:t xml:space="preserve">Hoy se han conocido los datos de enero de paro registrado (crece en 76.216 personas respecto a diciembre) y de afiliación a la Seguridad Social (desciende en 218.953 personas). </w:t>
      </w:r>
      <w:r w:rsidR="00295049" w:rsidRPr="00295049">
        <w:rPr>
          <w:sz w:val="24"/>
        </w:rPr>
        <w:t>Estos malos datos están en línea con el descenso del 14% de vacantes de empleo</w:t>
      </w:r>
      <w:r w:rsidR="00295049">
        <w:rPr>
          <w:sz w:val="24"/>
        </w:rPr>
        <w:t xml:space="preserve"> </w:t>
      </w:r>
      <w:r w:rsidR="00927D5D">
        <w:rPr>
          <w:sz w:val="24"/>
        </w:rPr>
        <w:t xml:space="preserve">registradas en la plataforma de InfoJobs el mes pasado. Además, siguen la tendencia histórica de lo que suele suceder cuando finaliza la gran campaña de consumo que se inaugura en noviembre con el </w:t>
      </w:r>
      <w:r w:rsidR="00927D5D">
        <w:rPr>
          <w:i/>
          <w:iCs/>
          <w:sz w:val="24"/>
        </w:rPr>
        <w:t>B</w:t>
      </w:r>
      <w:r w:rsidR="00927D5D" w:rsidRPr="00DE5688">
        <w:rPr>
          <w:i/>
          <w:iCs/>
          <w:sz w:val="24"/>
        </w:rPr>
        <w:t xml:space="preserve">lack </w:t>
      </w:r>
      <w:r w:rsidR="00927D5D">
        <w:rPr>
          <w:i/>
          <w:iCs/>
          <w:sz w:val="24"/>
        </w:rPr>
        <w:t>F</w:t>
      </w:r>
      <w:r w:rsidR="00927D5D" w:rsidRPr="00DE5688">
        <w:rPr>
          <w:i/>
          <w:iCs/>
          <w:sz w:val="24"/>
        </w:rPr>
        <w:t>riday</w:t>
      </w:r>
      <w:r w:rsidR="00927D5D">
        <w:rPr>
          <w:sz w:val="24"/>
        </w:rPr>
        <w:t xml:space="preserve">, se prolonga todas las navidades y concluye con las rebajas en enero. </w:t>
      </w:r>
      <w:bookmarkEnd w:id="0"/>
    </w:p>
    <w:p w14:paraId="278223EF" w14:textId="77777777" w:rsidR="00927D5D" w:rsidRDefault="00927D5D" w:rsidP="00927D5D">
      <w:pPr>
        <w:spacing w:before="100" w:beforeAutospacing="1" w:after="100" w:afterAutospacing="1"/>
        <w:rPr>
          <w:sz w:val="24"/>
        </w:rPr>
      </w:pPr>
      <w:r>
        <w:rPr>
          <w:sz w:val="24"/>
        </w:rPr>
        <w:t xml:space="preserve">De hecho, este trimestre (noviembre, diciembre y enero) que cabalga entre el año que termina y el que comienza tiene suficiente entidad propia, en términos económicos, como para que lo analicemos por separado. Y gracias a eso podemos descubrir que el comportamiento del empleo en este tiempo no ha sido en esta ocasión peor que otros años a pesar de la pandemia. </w:t>
      </w:r>
    </w:p>
    <w:p w14:paraId="46A95C7E" w14:textId="77777777" w:rsidR="00927D5D" w:rsidRDefault="00927D5D" w:rsidP="00927D5D">
      <w:pPr>
        <w:spacing w:before="100" w:beforeAutospacing="1" w:after="100" w:afterAutospacing="1"/>
        <w:rPr>
          <w:sz w:val="24"/>
        </w:rPr>
      </w:pPr>
      <w:r>
        <w:rPr>
          <w:sz w:val="24"/>
        </w:rPr>
        <w:t>Así, entre octubre de 2019 y enero de 2020, la afiliación a la Seguridad Social en España se redujo un 1,37 %, mientras que en esta temporada el descenso ha sido más moderado, del 0,85 %: de los prácticamente 19 millones de trabajadores que había en octubre de 2020 se ha pasado a 18,83 millones en enero de 2021.</w:t>
      </w:r>
    </w:p>
    <w:p w14:paraId="66F1FB62" w14:textId="0A868256" w:rsidR="00927D5D" w:rsidRDefault="00927D5D" w:rsidP="00927D5D">
      <w:pPr>
        <w:spacing w:before="100" w:beforeAutospacing="1" w:after="100" w:afterAutospacing="1"/>
        <w:jc w:val="center"/>
        <w:rPr>
          <w:rFonts w:ascii="Arial" w:eastAsia="Arial" w:hAnsi="Arial" w:cs="Arial"/>
          <w:color w:val="808080"/>
          <w:sz w:val="16"/>
          <w:szCs w:val="16"/>
          <w:u w:val="single"/>
        </w:rPr>
      </w:pPr>
      <w:r>
        <w:rPr>
          <w:noProof/>
        </w:rPr>
        <w:drawing>
          <wp:inline distT="0" distB="0" distL="0" distR="0" wp14:anchorId="6542DEBA" wp14:editId="6F47651E">
            <wp:extent cx="5274310" cy="2683748"/>
            <wp:effectExtent l="0" t="0" r="2540" b="2540"/>
            <wp:docPr id="3" name="Gráfico 3">
              <a:extLst xmlns:a="http://schemas.openxmlformats.org/drawingml/2006/main">
                <a:ext uri="{FF2B5EF4-FFF2-40B4-BE49-F238E27FC236}">
                  <a16:creationId xmlns:a16="http://schemas.microsoft.com/office/drawing/2014/main" id="{DE8C9EE9-7598-4302-96BD-F24B9E2599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994324" w14:textId="77777777" w:rsidR="00927D5D" w:rsidRDefault="00927D5D" w:rsidP="00927D5D">
      <w:pPr>
        <w:spacing w:before="100" w:beforeAutospacing="1" w:after="100" w:afterAutospacing="1"/>
        <w:rPr>
          <w:sz w:val="24"/>
        </w:rPr>
      </w:pPr>
    </w:p>
    <w:p w14:paraId="1FB20F49" w14:textId="48FFF650" w:rsidR="00927D5D" w:rsidRDefault="00927D5D" w:rsidP="00927D5D">
      <w:pPr>
        <w:spacing w:before="100" w:beforeAutospacing="1" w:after="100" w:afterAutospacing="1"/>
        <w:rPr>
          <w:sz w:val="24"/>
        </w:rPr>
      </w:pPr>
      <w:r>
        <w:rPr>
          <w:sz w:val="24"/>
        </w:rPr>
        <w:t xml:space="preserve">Es cierto que la pérdida de empleos acumulada durante el año, como consecuencia de las restricciones a la actividad económica por la pandemia, ya ofrecían un punto de partida (la afiliación de octubre) muy bajo. Pero el comportamiento durante de la afiliación durante este periodo especial de consumo ha seguido el patrón del año anterior, con variaciones mensuales más positivas que entonces en los tres meses analizados. </w:t>
      </w:r>
    </w:p>
    <w:p w14:paraId="0D0128C2" w14:textId="77777777" w:rsidR="00927D5D" w:rsidRDefault="00927D5D" w:rsidP="00927D5D">
      <w:pPr>
        <w:spacing w:before="100" w:beforeAutospacing="1" w:after="100" w:afterAutospacing="1"/>
        <w:rPr>
          <w:sz w:val="24"/>
        </w:rPr>
      </w:pPr>
      <w:r>
        <w:rPr>
          <w:sz w:val="24"/>
        </w:rPr>
        <w:t>En conclusión, los datos de afiliación ya han recibido el impacto máximo de la pandemia y han vuelto a sus dinámicas habituales. Aunque eso no significa que todos los problemas estén resueltos: queda en el aire la incógnita de qué pasará con los trabajadores en ERTE cuando se retiren las coberturas excepcionales desplegadas ante el COVID-19 y, sobre todo, cuándo se empezará a crear empleo para volver al punto de partida previo a la aparición de la enfermedad. Es decir: cuándo se cerrará esa brecha de entre 300.000 y 350.000 empleos perdidos por la pandemia.</w:t>
      </w:r>
    </w:p>
    <w:p w14:paraId="4F1F9AE7" w14:textId="77777777" w:rsidR="00927D5D" w:rsidRDefault="00927D5D" w:rsidP="00927D5D">
      <w:pPr>
        <w:spacing w:before="100" w:beforeAutospacing="1" w:after="100" w:afterAutospacing="1"/>
        <w:rPr>
          <w:rFonts w:ascii="Arial" w:eastAsia="Arial" w:hAnsi="Arial" w:cs="Arial"/>
          <w:color w:val="808080"/>
          <w:sz w:val="16"/>
          <w:szCs w:val="16"/>
          <w:u w:val="single"/>
        </w:rPr>
      </w:pPr>
    </w:p>
    <w:p w14:paraId="0E922292" w14:textId="6C45DC41" w:rsidR="00036C21" w:rsidRDefault="00036C21" w:rsidP="00927D5D">
      <w:pPr>
        <w:spacing w:before="100" w:beforeAutospacing="1" w:after="100" w:afterAutospacing="1"/>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29E50824" w14:textId="126548AA" w:rsidR="00357400" w:rsidRDefault="00357400" w:rsidP="00927D5D">
      <w:pPr>
        <w:pStyle w:val="NormalWeb"/>
        <w:spacing w:before="0" w:beforeAutospacing="0" w:after="0" w:afterAutospacing="0"/>
        <w:jc w:val="both"/>
      </w:pPr>
      <w:r>
        <w:rPr>
          <w:rFonts w:ascii="Arial" w:hAnsi="Arial" w:cs="Arial"/>
          <w:color w:val="8080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r w:rsidR="00927D5D">
        <w:rPr>
          <w:rFonts w:ascii="Arial" w:hAnsi="Arial" w:cs="Arial"/>
          <w:color w:val="808080"/>
          <w:sz w:val="16"/>
          <w:szCs w:val="16"/>
        </w:rPr>
        <w:br/>
      </w:r>
    </w:p>
    <w:p w14:paraId="5276262B" w14:textId="77777777" w:rsidR="00357400" w:rsidRDefault="00357400" w:rsidP="00357400">
      <w:pPr>
        <w:pStyle w:val="NormalWeb"/>
        <w:shd w:val="clear" w:color="auto" w:fill="FFFFFF"/>
        <w:spacing w:before="0" w:beforeAutospacing="0" w:after="0" w:afterAutospacing="0"/>
        <w:jc w:val="both"/>
      </w:pPr>
      <w:r>
        <w:rPr>
          <w:rFonts w:ascii="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9" w:history="1">
        <w:r>
          <w:rPr>
            <w:rStyle w:val="Hipervnculo"/>
            <w:rFonts w:ascii="Arial" w:hAnsi="Arial" w:cs="Arial"/>
            <w:color w:val="808080"/>
            <w:sz w:val="16"/>
            <w:szCs w:val="16"/>
          </w:rPr>
          <w:t>Fotocasa</w:t>
        </w:r>
      </w:hyperlink>
      <w:r>
        <w:rPr>
          <w:rFonts w:ascii="Arial" w:hAnsi="Arial" w:cs="Arial"/>
          <w:color w:val="808080"/>
          <w:sz w:val="16"/>
          <w:szCs w:val="16"/>
        </w:rPr>
        <w:t xml:space="preserve"> y </w:t>
      </w:r>
      <w:hyperlink r:id="rId10" w:history="1">
        <w:r>
          <w:rPr>
            <w:rStyle w:val="Hipervnculo"/>
            <w:rFonts w:ascii="Arial" w:hAnsi="Arial" w:cs="Arial"/>
            <w:color w:val="808080"/>
            <w:sz w:val="16"/>
            <w:szCs w:val="16"/>
          </w:rPr>
          <w:t>habitaclia</w:t>
        </w:r>
      </w:hyperlink>
      <w:r>
        <w:rPr>
          <w:rFonts w:ascii="Arial" w:hAnsi="Arial" w:cs="Arial"/>
          <w:color w:val="808080"/>
          <w:sz w:val="16"/>
          <w:szCs w:val="16"/>
        </w:rPr>
        <w:t>), empleo (</w:t>
      </w:r>
      <w:hyperlink r:id="rId11" w:history="1">
        <w:r>
          <w:rPr>
            <w:rStyle w:val="Hipervnculo"/>
            <w:rFonts w:ascii="Arial" w:hAnsi="Arial" w:cs="Arial"/>
            <w:color w:val="808080"/>
            <w:sz w:val="16"/>
            <w:szCs w:val="16"/>
          </w:rPr>
          <w:t>InfoJobs</w:t>
        </w:r>
      </w:hyperlink>
      <w:r>
        <w:rPr>
          <w:rFonts w:ascii="Arial" w:hAnsi="Arial" w:cs="Arial"/>
          <w:color w:val="808080"/>
          <w:sz w:val="16"/>
          <w:szCs w:val="16"/>
        </w:rPr>
        <w:t>), motor (</w:t>
      </w:r>
      <w:hyperlink r:id="rId12" w:history="1">
        <w:r>
          <w:rPr>
            <w:rStyle w:val="Hipervnculo"/>
            <w:rFonts w:ascii="Arial" w:hAnsi="Arial" w:cs="Arial"/>
            <w:color w:val="808080"/>
            <w:sz w:val="16"/>
            <w:szCs w:val="16"/>
          </w:rPr>
          <w:t>coches.net</w:t>
        </w:r>
      </w:hyperlink>
      <w:r>
        <w:rPr>
          <w:rFonts w:ascii="Arial" w:hAnsi="Arial" w:cs="Arial"/>
          <w:color w:val="808080"/>
          <w:sz w:val="16"/>
          <w:szCs w:val="16"/>
        </w:rPr>
        <w:t xml:space="preserve"> y </w:t>
      </w:r>
      <w:hyperlink r:id="rId13" w:history="1">
        <w:r>
          <w:rPr>
            <w:rStyle w:val="Hipervnculo"/>
            <w:rFonts w:ascii="Arial" w:hAnsi="Arial" w:cs="Arial"/>
            <w:color w:val="808080"/>
            <w:sz w:val="16"/>
            <w:szCs w:val="16"/>
          </w:rPr>
          <w:t>motos.net</w:t>
        </w:r>
      </w:hyperlink>
      <w:r>
        <w:rPr>
          <w:rFonts w:ascii="Arial" w:hAnsi="Arial" w:cs="Arial"/>
          <w:color w:val="808080"/>
          <w:sz w:val="16"/>
          <w:szCs w:val="16"/>
        </w:rPr>
        <w:t>) y compraventa de artículos de segunda mano (</w:t>
      </w:r>
      <w:hyperlink r:id="rId14" w:history="1">
        <w:r>
          <w:rPr>
            <w:rStyle w:val="Hipervnculo"/>
            <w:rFonts w:ascii="Arial" w:hAnsi="Arial" w:cs="Arial"/>
            <w:color w:val="808080"/>
            <w:sz w:val="16"/>
            <w:szCs w:val="16"/>
          </w:rPr>
          <w:t>Milanuncios</w:t>
        </w:r>
      </w:hyperlink>
      <w:r>
        <w:rPr>
          <w:rFonts w:ascii="Arial" w:hAnsi="Arial" w:cs="Arial"/>
          <w:color w:val="808080"/>
          <w:sz w:val="16"/>
          <w:szCs w:val="16"/>
        </w:rPr>
        <w:t>).</w:t>
      </w:r>
    </w:p>
    <w:p w14:paraId="19A31857" w14:textId="77777777" w:rsidR="00357400" w:rsidRDefault="00357400" w:rsidP="00357400">
      <w:pPr>
        <w:pStyle w:val="NormalWeb"/>
        <w:shd w:val="clear" w:color="auto" w:fill="FFFFFF"/>
        <w:spacing w:before="0" w:beforeAutospacing="0" w:after="0" w:afterAutospacing="0"/>
        <w:jc w:val="both"/>
      </w:pPr>
      <w:r>
        <w:t> </w:t>
      </w:r>
    </w:p>
    <w:p w14:paraId="20E9777B" w14:textId="77777777" w:rsidR="00357400" w:rsidRDefault="00357400" w:rsidP="00357400">
      <w:pPr>
        <w:rPr>
          <w:rFonts w:ascii="Arial" w:hAnsi="Arial" w:cs="Arial"/>
          <w:color w:val="808080"/>
          <w:sz w:val="16"/>
          <w:szCs w:val="16"/>
        </w:rPr>
      </w:pPr>
      <w:r>
        <w:rPr>
          <w:rFonts w:ascii="Arial" w:hAnsi="Arial" w:cs="Arial"/>
          <w:color w:val="808080"/>
          <w:sz w:val="16"/>
          <w:szCs w:val="16"/>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5" w:history="1">
        <w:r>
          <w:rPr>
            <w:rStyle w:val="Hipervnculo"/>
            <w:rFonts w:ascii="Arial" w:hAnsi="Arial" w:cs="Arial"/>
            <w:color w:val="808080"/>
            <w:sz w:val="16"/>
            <w:szCs w:val="16"/>
          </w:rPr>
          <w:t>adevinta.es</w:t>
        </w:r>
      </w:hyperlink>
      <w:r>
        <w:rPr>
          <w:rFonts w:ascii="Arial" w:hAnsi="Arial" w:cs="Arial"/>
          <w:color w:val="808080"/>
          <w:sz w:val="16"/>
          <w:szCs w:val="16"/>
        </w:rPr>
        <w:t>.</w:t>
      </w:r>
    </w:p>
    <w:p w14:paraId="5D246D29" w14:textId="77777777" w:rsidR="00357400" w:rsidRPr="00357400" w:rsidRDefault="00357400" w:rsidP="00357400">
      <w:pPr>
        <w:spacing w:line="252" w:lineRule="auto"/>
        <w:rPr>
          <w:rFonts w:ascii="Arial" w:hAnsi="Arial" w:cs="Arial"/>
          <w:color w:val="808080"/>
          <w:sz w:val="16"/>
          <w:szCs w:val="16"/>
        </w:rPr>
      </w:pPr>
    </w:p>
    <w:p w14:paraId="2C4D3257" w14:textId="77777777" w:rsidR="00036C21" w:rsidRDefault="00036C21" w:rsidP="00036C21">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890ECB4" w14:textId="525EBEF4" w:rsidR="00036C21" w:rsidRDefault="00036C21" w:rsidP="00036C21">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xml:space="preserve">: </w:t>
      </w:r>
      <w:r w:rsidR="00357400">
        <w:rPr>
          <w:rFonts w:ascii="Arial" w:eastAsia="Arial" w:hAnsi="Arial" w:cs="Arial"/>
          <w:color w:val="7F7F7F"/>
          <w:sz w:val="18"/>
          <w:szCs w:val="18"/>
        </w:rPr>
        <w:t>Pablo Gutiérrez</w:t>
      </w:r>
      <w:r>
        <w:rPr>
          <w:rFonts w:ascii="Arial" w:eastAsia="Arial" w:hAnsi="Arial" w:cs="Arial"/>
          <w:color w:val="7F7F7F"/>
          <w:sz w:val="18"/>
          <w:szCs w:val="18"/>
        </w:rPr>
        <w:t xml:space="preserve"> / Albert Cuesta</w:t>
      </w:r>
    </w:p>
    <w:p w14:paraId="5AD5789A" w14:textId="65027E04" w:rsidR="00036C21" w:rsidRDefault="00295049" w:rsidP="00036C21">
      <w:pPr>
        <w:rPr>
          <w:rFonts w:ascii="Arial" w:eastAsia="Arial" w:hAnsi="Arial" w:cs="Arial"/>
          <w:color w:val="7F7F7F"/>
          <w:sz w:val="18"/>
          <w:szCs w:val="18"/>
        </w:rPr>
      </w:pPr>
      <w:hyperlink r:id="rId16">
        <w:r w:rsidR="00036C21">
          <w:rPr>
            <w:rFonts w:ascii="Arial" w:eastAsia="Arial" w:hAnsi="Arial" w:cs="Arial"/>
            <w:b/>
            <w:color w:val="0070C0"/>
            <w:sz w:val="18"/>
            <w:szCs w:val="18"/>
          </w:rPr>
          <w:t>prensa@infojobs.net</w:t>
        </w:r>
      </w:hyperlink>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r>
      <w:r w:rsidR="00036C21">
        <w:rPr>
          <w:rFonts w:ascii="Arial" w:eastAsia="Arial" w:hAnsi="Arial" w:cs="Arial"/>
          <w:color w:val="4F81BD"/>
          <w:sz w:val="18"/>
          <w:szCs w:val="18"/>
        </w:rPr>
        <w:tab/>
        <w:t xml:space="preserve"> </w:t>
      </w:r>
      <w:r w:rsidR="00036C21">
        <w:rPr>
          <w:rFonts w:ascii="Arial" w:eastAsia="Arial" w:hAnsi="Arial" w:cs="Arial"/>
          <w:color w:val="4F81BD"/>
          <w:sz w:val="18"/>
          <w:szCs w:val="18"/>
        </w:rPr>
        <w:tab/>
        <w:t xml:space="preserve">          </w:t>
      </w:r>
      <w:hyperlink r:id="rId17" w:history="1">
        <w:r w:rsidR="00036C21" w:rsidRPr="0048269E">
          <w:rPr>
            <w:rStyle w:val="Hipervnculo"/>
            <w:rFonts w:ascii="Arial" w:eastAsia="Arial" w:hAnsi="Arial" w:cs="Arial"/>
            <w:b/>
            <w:sz w:val="18"/>
            <w:szCs w:val="18"/>
          </w:rPr>
          <w:t>infojobs@evercom.es</w:t>
        </w:r>
      </w:hyperlink>
      <w:r w:rsidR="00036C21">
        <w:rPr>
          <w:rFonts w:ascii="Arial" w:eastAsia="Arial" w:hAnsi="Arial" w:cs="Arial"/>
          <w:color w:val="0070C0"/>
          <w:sz w:val="18"/>
          <w:szCs w:val="18"/>
        </w:rPr>
        <w:t xml:space="preserve">  </w:t>
      </w:r>
    </w:p>
    <w:p w14:paraId="4A808329" w14:textId="6DB5A0EB" w:rsidR="00036C21" w:rsidRDefault="00036C21" w:rsidP="00036C2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8"/>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F71909"/>
    <w:multiLevelType w:val="hybridMultilevel"/>
    <w:tmpl w:val="425C3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105739"/>
    <w:rsid w:val="0019509B"/>
    <w:rsid w:val="001C1A5A"/>
    <w:rsid w:val="001E3377"/>
    <w:rsid w:val="00206442"/>
    <w:rsid w:val="00247AB7"/>
    <w:rsid w:val="002513B3"/>
    <w:rsid w:val="00260961"/>
    <w:rsid w:val="00295049"/>
    <w:rsid w:val="002B1910"/>
    <w:rsid w:val="002D26E9"/>
    <w:rsid w:val="002E0CD1"/>
    <w:rsid w:val="00357400"/>
    <w:rsid w:val="0047055B"/>
    <w:rsid w:val="004934F7"/>
    <w:rsid w:val="005213C9"/>
    <w:rsid w:val="005A0C9A"/>
    <w:rsid w:val="005B42E3"/>
    <w:rsid w:val="005D3292"/>
    <w:rsid w:val="005D72BD"/>
    <w:rsid w:val="00603FB8"/>
    <w:rsid w:val="00604F42"/>
    <w:rsid w:val="00612D90"/>
    <w:rsid w:val="00615246"/>
    <w:rsid w:val="006623BD"/>
    <w:rsid w:val="006B3FFF"/>
    <w:rsid w:val="007D4FA6"/>
    <w:rsid w:val="007E04D2"/>
    <w:rsid w:val="00846B65"/>
    <w:rsid w:val="00872D70"/>
    <w:rsid w:val="008A61C7"/>
    <w:rsid w:val="008E0D95"/>
    <w:rsid w:val="00927D5D"/>
    <w:rsid w:val="00A52A37"/>
    <w:rsid w:val="00A932AE"/>
    <w:rsid w:val="00AE358F"/>
    <w:rsid w:val="00B015ED"/>
    <w:rsid w:val="00B037B3"/>
    <w:rsid w:val="00B73C27"/>
    <w:rsid w:val="00BE4392"/>
    <w:rsid w:val="00CA2FA5"/>
    <w:rsid w:val="00D06A07"/>
    <w:rsid w:val="00D61059"/>
    <w:rsid w:val="00D67B23"/>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paragraph" w:styleId="Ttulo2">
    <w:name w:val="heading 2"/>
    <w:basedOn w:val="Normal"/>
    <w:next w:val="Normal"/>
    <w:link w:val="Ttulo2Car"/>
    <w:unhideWhenUsed/>
    <w:qFormat/>
    <w:rsid w:val="003574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 w:type="character" w:customStyle="1" w:styleId="Ttulo2Car">
    <w:name w:val="Título 2 Car"/>
    <w:basedOn w:val="Fuentedeprrafopredeter"/>
    <w:link w:val="Ttulo2"/>
    <w:rsid w:val="00357400"/>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1\2021_02_Febrero_Infojobs\01_SEPE_Enero\Trimestre_navi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ES"/>
              <a:t>Afiliación media mensual (Seguridad Social)</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ES"/>
        </a:p>
      </c:txPr>
    </c:title>
    <c:autoTitleDeleted val="0"/>
    <c:plotArea>
      <c:layout/>
      <c:lineChart>
        <c:grouping val="standard"/>
        <c:varyColors val="0"/>
        <c:ser>
          <c:idx val="0"/>
          <c:order val="0"/>
          <c:tx>
            <c:strRef>
              <c:f>Afiliaciones!$B$12</c:f>
              <c:strCache>
                <c:ptCount val="1"/>
                <c:pt idx="0">
                  <c:v>2019-2020</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Afiliaciones!$C$11:$F$11</c:f>
              <c:strCache>
                <c:ptCount val="4"/>
                <c:pt idx="0">
                  <c:v>Octubre</c:v>
                </c:pt>
                <c:pt idx="1">
                  <c:v>Noviembre</c:v>
                </c:pt>
                <c:pt idx="2">
                  <c:v>Diciembre</c:v>
                </c:pt>
                <c:pt idx="3">
                  <c:v>Enero</c:v>
                </c:pt>
              </c:strCache>
            </c:strRef>
          </c:cat>
          <c:val>
            <c:numRef>
              <c:f>Afiliaciones!$C$12:$F$12</c:f>
              <c:numCache>
                <c:formatCode>#,##0</c:formatCode>
                <c:ptCount val="4"/>
                <c:pt idx="0">
                  <c:v>19429992.649999999</c:v>
                </c:pt>
                <c:pt idx="1">
                  <c:v>19376878.449999999</c:v>
                </c:pt>
                <c:pt idx="2">
                  <c:v>19408537.829999998</c:v>
                </c:pt>
                <c:pt idx="3">
                  <c:v>19164493.66</c:v>
                </c:pt>
              </c:numCache>
            </c:numRef>
          </c:val>
          <c:smooth val="0"/>
          <c:extLst>
            <c:ext xmlns:c16="http://schemas.microsoft.com/office/drawing/2014/chart" uri="{C3380CC4-5D6E-409C-BE32-E72D297353CC}">
              <c16:uniqueId val="{00000000-0A93-4960-99FD-822609618B14}"/>
            </c:ext>
          </c:extLst>
        </c:ser>
        <c:ser>
          <c:idx val="1"/>
          <c:order val="1"/>
          <c:tx>
            <c:strRef>
              <c:f>Afiliaciones!$B$13</c:f>
              <c:strCache>
                <c:ptCount val="1"/>
                <c:pt idx="0">
                  <c:v>2020-2021</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Afiliaciones!$C$11:$F$11</c:f>
              <c:strCache>
                <c:ptCount val="4"/>
                <c:pt idx="0">
                  <c:v>Octubre</c:v>
                </c:pt>
                <c:pt idx="1">
                  <c:v>Noviembre</c:v>
                </c:pt>
                <c:pt idx="2">
                  <c:v>Diciembre</c:v>
                </c:pt>
                <c:pt idx="3">
                  <c:v>Enero</c:v>
                </c:pt>
              </c:strCache>
            </c:strRef>
          </c:cat>
          <c:val>
            <c:numRef>
              <c:f>Afiliaciones!$C$13:$F$13</c:f>
              <c:numCache>
                <c:formatCode>#,##0</c:formatCode>
                <c:ptCount val="4"/>
                <c:pt idx="0">
                  <c:v>18990363.949999999</c:v>
                </c:pt>
                <c:pt idx="1">
                  <c:v>19022001.57</c:v>
                </c:pt>
                <c:pt idx="2">
                  <c:v>19048433.309999999</c:v>
                </c:pt>
                <c:pt idx="3">
                  <c:v>18829480</c:v>
                </c:pt>
              </c:numCache>
            </c:numRef>
          </c:val>
          <c:smooth val="0"/>
          <c:extLst>
            <c:ext xmlns:c16="http://schemas.microsoft.com/office/drawing/2014/chart" uri="{C3380CC4-5D6E-409C-BE32-E72D297353CC}">
              <c16:uniqueId val="{00000001-0A93-4960-99FD-822609618B14}"/>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40755000"/>
        <c:axId val="540755328"/>
      </c:lineChart>
      <c:catAx>
        <c:axId val="5407550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540755328"/>
        <c:crosses val="autoZero"/>
        <c:auto val="1"/>
        <c:lblAlgn val="ctr"/>
        <c:lblOffset val="100"/>
        <c:noMultiLvlLbl val="0"/>
      </c:catAx>
      <c:valAx>
        <c:axId val="5407553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54075500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Pages>
  <Words>622</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79</cp:revision>
  <dcterms:created xsi:type="dcterms:W3CDTF">2016-12-02T03:33:00Z</dcterms:created>
  <dcterms:modified xsi:type="dcterms:W3CDTF">2021-02-02T10:03:00Z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