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2" w14:textId="77777777" w:rsidR="00270AD8" w:rsidRDefault="007E7E54">
      <w:pPr>
        <w:spacing w:before="240" w:after="240"/>
        <w:jc w:val="center"/>
        <w:rPr>
          <w:rFonts w:ascii="Arial" w:eastAsia="Arial" w:hAnsi="Arial" w:cs="Arial"/>
          <w:color w:val="0070C0"/>
          <w:sz w:val="50"/>
          <w:szCs w:val="50"/>
        </w:rPr>
      </w:pPr>
      <w:r>
        <w:rPr>
          <w:rFonts w:ascii="Arial" w:eastAsia="Arial" w:hAnsi="Arial" w:cs="Arial"/>
          <w:color w:val="0070C0"/>
          <w:sz w:val="50"/>
          <w:szCs w:val="50"/>
        </w:rPr>
        <w:t>Las vacantes de empleo caen un 11% en InfoJobs pese a la campaña de Navidad</w:t>
      </w:r>
    </w:p>
    <w:p w14:paraId="00000004" w14:textId="77777777" w:rsidR="00270AD8" w:rsidRDefault="00270AD8">
      <w:pPr>
        <w:pBdr>
          <w:top w:val="nil"/>
          <w:left w:val="nil"/>
          <w:bottom w:val="nil"/>
          <w:right w:val="nil"/>
          <w:between w:val="nil"/>
        </w:pBdr>
        <w:spacing w:line="276" w:lineRule="auto"/>
        <w:ind w:left="360"/>
        <w:rPr>
          <w:rFonts w:ascii="Arial" w:eastAsia="Arial" w:hAnsi="Arial" w:cs="Arial"/>
          <w:b/>
          <w:color w:val="0070C0"/>
          <w:sz w:val="20"/>
          <w:szCs w:val="20"/>
        </w:rPr>
      </w:pPr>
    </w:p>
    <w:p w14:paraId="00000005" w14:textId="77777777" w:rsidR="00270AD8" w:rsidRDefault="007E7E54">
      <w:pPr>
        <w:numPr>
          <w:ilvl w:val="0"/>
          <w:numId w:val="1"/>
        </w:numPr>
        <w:spacing w:line="276" w:lineRule="auto"/>
        <w:rPr>
          <w:rFonts w:ascii="Arial" w:eastAsia="Arial" w:hAnsi="Arial" w:cs="Arial"/>
          <w:b/>
          <w:color w:val="0070C0"/>
          <w:sz w:val="20"/>
          <w:szCs w:val="20"/>
        </w:rPr>
      </w:pPr>
      <w:r>
        <w:rPr>
          <w:rFonts w:ascii="Arial" w:eastAsia="Arial" w:hAnsi="Arial" w:cs="Arial"/>
          <w:b/>
          <w:color w:val="0070C0"/>
          <w:sz w:val="20"/>
          <w:szCs w:val="20"/>
        </w:rPr>
        <w:t>Los sectores Comercial y ventas, Informática y Telecomunicaciones y Atención a clientes, que han sido motores de empleo durante la pandemia y acumulan el 43%</w:t>
      </w:r>
      <w:r>
        <w:rPr>
          <w:rFonts w:ascii="Arial" w:eastAsia="Arial" w:hAnsi="Arial" w:cs="Arial"/>
          <w:b/>
          <w:color w:val="FF0000"/>
          <w:sz w:val="20"/>
          <w:szCs w:val="20"/>
        </w:rPr>
        <w:t xml:space="preserve"> </w:t>
      </w:r>
      <w:r>
        <w:rPr>
          <w:rFonts w:ascii="Arial" w:eastAsia="Arial" w:hAnsi="Arial" w:cs="Arial"/>
          <w:b/>
          <w:color w:val="0070C0"/>
          <w:sz w:val="20"/>
          <w:szCs w:val="20"/>
        </w:rPr>
        <w:t>del total de vacantes, registran significativos descensos en comparación a octubre (-44%)</w:t>
      </w:r>
    </w:p>
    <w:p w14:paraId="00000006" w14:textId="0267DA8B" w:rsidR="00270AD8" w:rsidRDefault="007E7E54">
      <w:pPr>
        <w:numPr>
          <w:ilvl w:val="0"/>
          <w:numId w:val="1"/>
        </w:numPr>
        <w:pBdr>
          <w:top w:val="nil"/>
          <w:left w:val="nil"/>
          <w:bottom w:val="nil"/>
          <w:right w:val="nil"/>
          <w:between w:val="nil"/>
        </w:pBdr>
        <w:spacing w:line="276" w:lineRule="auto"/>
        <w:rPr>
          <w:rFonts w:ascii="Arial" w:eastAsia="Arial" w:hAnsi="Arial" w:cs="Arial"/>
          <w:b/>
          <w:color w:val="0070C0"/>
          <w:sz w:val="20"/>
          <w:szCs w:val="20"/>
        </w:rPr>
      </w:pPr>
      <w:r>
        <w:rPr>
          <w:rFonts w:ascii="Arial" w:eastAsia="Arial" w:hAnsi="Arial" w:cs="Arial"/>
          <w:b/>
          <w:color w:val="0070C0"/>
          <w:sz w:val="20"/>
          <w:szCs w:val="20"/>
        </w:rPr>
        <w:t xml:space="preserve">Las categorías que se han mantenido estables en volumen de vacantes respecto a octubre son Compras, logística y almacén, Sanidad y Salud, Inmobiliario y construcción) y Finanzas </w:t>
      </w:r>
    </w:p>
    <w:p w14:paraId="00000007" w14:textId="77777777" w:rsidR="00270AD8" w:rsidRDefault="00270AD8">
      <w:pPr>
        <w:pBdr>
          <w:top w:val="nil"/>
          <w:left w:val="nil"/>
          <w:bottom w:val="nil"/>
          <w:right w:val="nil"/>
          <w:between w:val="nil"/>
        </w:pBdr>
        <w:ind w:left="360"/>
        <w:jc w:val="both"/>
        <w:rPr>
          <w:rFonts w:ascii="Arial" w:eastAsia="Arial" w:hAnsi="Arial" w:cs="Arial"/>
          <w:b/>
          <w:color w:val="0070C0"/>
          <w:sz w:val="20"/>
          <w:szCs w:val="20"/>
        </w:rPr>
      </w:pPr>
    </w:p>
    <w:p w14:paraId="00000008" w14:textId="77777777" w:rsidR="00270AD8" w:rsidRDefault="00270AD8">
      <w:pPr>
        <w:pBdr>
          <w:top w:val="nil"/>
          <w:left w:val="nil"/>
          <w:bottom w:val="nil"/>
          <w:right w:val="nil"/>
          <w:between w:val="nil"/>
        </w:pBdr>
        <w:spacing w:line="360" w:lineRule="auto"/>
        <w:jc w:val="both"/>
        <w:rPr>
          <w:rFonts w:ascii="Arial" w:eastAsia="Arial" w:hAnsi="Arial" w:cs="Arial"/>
          <w:b/>
          <w:color w:val="000000"/>
          <w:sz w:val="20"/>
          <w:szCs w:val="20"/>
          <w:highlight w:val="white"/>
        </w:rPr>
      </w:pPr>
    </w:p>
    <w:p w14:paraId="00000009" w14:textId="77777777" w:rsidR="00270AD8" w:rsidRDefault="007E7E54">
      <w:pPr>
        <w:pBdr>
          <w:top w:val="nil"/>
          <w:left w:val="nil"/>
          <w:bottom w:val="nil"/>
          <w:right w:val="nil"/>
          <w:between w:val="nil"/>
        </w:pBdr>
        <w:spacing w:line="360" w:lineRule="auto"/>
        <w:jc w:val="both"/>
        <w:rPr>
          <w:rFonts w:ascii="Arial" w:eastAsia="Arial" w:hAnsi="Arial" w:cs="Arial"/>
          <w:b/>
          <w:color w:val="FF0000"/>
          <w:sz w:val="20"/>
          <w:szCs w:val="20"/>
        </w:rPr>
      </w:pPr>
      <w:r>
        <w:rPr>
          <w:rFonts w:ascii="Arial" w:eastAsia="Arial" w:hAnsi="Arial" w:cs="Arial"/>
          <w:b/>
          <w:color w:val="000000"/>
          <w:sz w:val="20"/>
          <w:szCs w:val="20"/>
        </w:rPr>
        <w:t>Madrid, a 4 de diciembre de 2020</w:t>
      </w:r>
      <w:r>
        <w:rPr>
          <w:rFonts w:ascii="Arial" w:eastAsia="Arial" w:hAnsi="Arial" w:cs="Arial"/>
          <w:b/>
          <w:color w:val="000000"/>
          <w:sz w:val="20"/>
          <w:szCs w:val="20"/>
          <w:highlight w:val="white"/>
        </w:rPr>
        <w:t xml:space="preserve">.- </w:t>
      </w:r>
      <w:hyperlink r:id="rId8">
        <w:r>
          <w:rPr>
            <w:rFonts w:ascii="Arial" w:eastAsia="Arial" w:hAnsi="Arial" w:cs="Arial"/>
            <w:color w:val="0070C0"/>
            <w:sz w:val="20"/>
            <w:szCs w:val="20"/>
            <w:highlight w:val="white"/>
            <w:u w:val="single"/>
          </w:rPr>
          <w:t>InfoJobs</w:t>
        </w:r>
      </w:hyperlink>
      <w:r>
        <w:rPr>
          <w:rFonts w:ascii="Arial" w:eastAsia="Arial" w:hAnsi="Arial" w:cs="Arial"/>
          <w:color w:val="000000"/>
          <w:sz w:val="20"/>
          <w:szCs w:val="20"/>
          <w:highlight w:val="white"/>
        </w:rPr>
        <w:t>, plataforma líder en empleo en España,</w:t>
      </w:r>
      <w:r>
        <w:rPr>
          <w:rFonts w:ascii="Arial" w:eastAsia="Arial" w:hAnsi="Arial" w:cs="Arial"/>
          <w:b/>
          <w:color w:val="000000"/>
          <w:sz w:val="20"/>
          <w:szCs w:val="20"/>
          <w:highlight w:val="white"/>
        </w:rPr>
        <w:t xml:space="preserve"> registró </w:t>
      </w:r>
      <w:r>
        <w:rPr>
          <w:rFonts w:ascii="Arial" w:eastAsia="Arial" w:hAnsi="Arial" w:cs="Arial"/>
          <w:color w:val="000000"/>
          <w:sz w:val="20"/>
          <w:szCs w:val="20"/>
          <w:highlight w:val="white"/>
        </w:rPr>
        <w:t>el pasado mes de</w:t>
      </w:r>
      <w:r>
        <w:rPr>
          <w:rFonts w:ascii="Arial" w:eastAsia="Arial" w:hAnsi="Arial" w:cs="Arial"/>
          <w:b/>
          <w:color w:val="000000"/>
          <w:sz w:val="20"/>
          <w:szCs w:val="20"/>
          <w:highlight w:val="white"/>
        </w:rPr>
        <w:t xml:space="preserve"> </w:t>
      </w:r>
      <w:r>
        <w:rPr>
          <w:rFonts w:ascii="Arial" w:eastAsia="Arial" w:hAnsi="Arial" w:cs="Arial"/>
          <w:b/>
          <w:sz w:val="20"/>
          <w:szCs w:val="20"/>
          <w:highlight w:val="white"/>
        </w:rPr>
        <w:t>noviembre un</w:t>
      </w:r>
      <w:r>
        <w:rPr>
          <w:rFonts w:ascii="Arial" w:eastAsia="Arial" w:hAnsi="Arial" w:cs="Arial"/>
          <w:b/>
          <w:sz w:val="20"/>
          <w:szCs w:val="20"/>
        </w:rPr>
        <w:t xml:space="preserve"> descenso generalizado en la mayoría de categorías profesionales con </w:t>
      </w:r>
      <w:r>
        <w:rPr>
          <w:rFonts w:ascii="Arial" w:eastAsia="Arial" w:hAnsi="Arial" w:cs="Arial"/>
          <w:color w:val="000000"/>
          <w:sz w:val="20"/>
          <w:szCs w:val="20"/>
          <w:highlight w:val="white"/>
        </w:rPr>
        <w:t>un total de</w:t>
      </w:r>
      <w:r>
        <w:rPr>
          <w:rFonts w:ascii="Arial" w:eastAsia="Arial" w:hAnsi="Arial" w:cs="Arial"/>
          <w:b/>
          <w:color w:val="000000"/>
          <w:sz w:val="20"/>
          <w:szCs w:val="20"/>
          <w:highlight w:val="white"/>
        </w:rPr>
        <w:t xml:space="preserve"> 129.675 vacantes de empleo </w:t>
      </w:r>
      <w:r>
        <w:rPr>
          <w:rFonts w:ascii="Arial" w:eastAsia="Arial" w:hAnsi="Arial" w:cs="Arial"/>
          <w:color w:val="000000"/>
          <w:sz w:val="20"/>
          <w:szCs w:val="20"/>
          <w:highlight w:val="white"/>
        </w:rPr>
        <w:t>para trabajar en España</w:t>
      </w:r>
      <w:r>
        <w:rPr>
          <w:rFonts w:ascii="Arial" w:eastAsia="Arial" w:hAnsi="Arial" w:cs="Arial"/>
          <w:b/>
          <w:color w:val="000000"/>
          <w:sz w:val="20"/>
          <w:szCs w:val="20"/>
          <w:highlight w:val="white"/>
        </w:rPr>
        <w:t>, un 11% menos que en</w:t>
      </w:r>
      <w:r>
        <w:rPr>
          <w:rFonts w:ascii="Arial" w:eastAsia="Arial" w:hAnsi="Arial" w:cs="Arial"/>
          <w:color w:val="000000"/>
          <w:sz w:val="20"/>
          <w:szCs w:val="20"/>
          <w:highlight w:val="white"/>
        </w:rPr>
        <w:t xml:space="preserve"> </w:t>
      </w:r>
      <w:r>
        <w:rPr>
          <w:rFonts w:ascii="Arial" w:eastAsia="Arial" w:hAnsi="Arial" w:cs="Arial"/>
          <w:b/>
          <w:color w:val="000000"/>
          <w:sz w:val="20"/>
          <w:szCs w:val="20"/>
        </w:rPr>
        <w:t>octubre (145.275).</w:t>
      </w:r>
      <w:r>
        <w:rPr>
          <w:rFonts w:ascii="Arial" w:eastAsia="Arial" w:hAnsi="Arial" w:cs="Arial"/>
          <w:b/>
          <w:color w:val="FF0000"/>
          <w:sz w:val="20"/>
          <w:szCs w:val="20"/>
        </w:rPr>
        <w:t xml:space="preserve"> </w:t>
      </w:r>
    </w:p>
    <w:p w14:paraId="0000000A" w14:textId="77777777" w:rsidR="00270AD8" w:rsidRDefault="00270AD8">
      <w:pPr>
        <w:pBdr>
          <w:top w:val="nil"/>
          <w:left w:val="nil"/>
          <w:bottom w:val="nil"/>
          <w:right w:val="nil"/>
          <w:between w:val="nil"/>
        </w:pBdr>
        <w:spacing w:line="360" w:lineRule="auto"/>
        <w:jc w:val="both"/>
        <w:rPr>
          <w:rFonts w:ascii="Arial" w:eastAsia="Arial" w:hAnsi="Arial" w:cs="Arial"/>
          <w:b/>
          <w:color w:val="FF0000"/>
          <w:sz w:val="20"/>
          <w:szCs w:val="20"/>
        </w:rPr>
      </w:pPr>
    </w:p>
    <w:p w14:paraId="0000000B" w14:textId="77777777" w:rsidR="00270AD8" w:rsidRDefault="007E7E5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A pesar de que noviembre suele ser, en un contexto de normalidad, un mes de pérdida de empleo ligado a la destrucción de puestos de trabajo en la hostelería, en esta ocasión el número de afiliados a la seguridad social ha aumentado en 31.638 cotizantes, según datos oficiales del ministerio de Trabajo.  No obstante, </w:t>
      </w:r>
      <w:r>
        <w:rPr>
          <w:rFonts w:ascii="Arial" w:eastAsia="Arial" w:hAnsi="Arial" w:cs="Arial"/>
          <w:color w:val="000000"/>
          <w:sz w:val="20"/>
          <w:szCs w:val="20"/>
        </w:rPr>
        <w:t xml:space="preserve">el número de desempleados registrados en las oficinas del Servicio Público de Empleo Estatal (SEPE) aumentó en 25.269 personas, el mayor incremento desde 2012, cifra que aún se encuentra amortiguada por los ERTE que, al finalizar noviembre suman 750.000 personas afectadas. </w:t>
      </w:r>
    </w:p>
    <w:p w14:paraId="0000000C"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highlight w:val="yellow"/>
        </w:rPr>
      </w:pPr>
    </w:p>
    <w:p w14:paraId="0000000D" w14:textId="77777777" w:rsidR="00270AD8" w:rsidRDefault="007E7E5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 xml:space="preserve">En este contexto, de InfoJobs ha registrado </w:t>
      </w:r>
      <w:r>
        <w:rPr>
          <w:rFonts w:ascii="Arial" w:eastAsia="Arial" w:hAnsi="Arial" w:cs="Arial"/>
          <w:color w:val="000000"/>
          <w:sz w:val="20"/>
          <w:szCs w:val="20"/>
        </w:rPr>
        <w:t xml:space="preserve">un descenso en la mayoría de las </w:t>
      </w:r>
      <w:r>
        <w:rPr>
          <w:rFonts w:ascii="Arial" w:eastAsia="Arial" w:hAnsi="Arial" w:cs="Arial"/>
          <w:sz w:val="20"/>
          <w:szCs w:val="20"/>
        </w:rPr>
        <w:t xml:space="preserve">categorías profesionales.  Y, si comparamos </w:t>
      </w:r>
      <w:r>
        <w:rPr>
          <w:rFonts w:ascii="Arial" w:eastAsia="Arial" w:hAnsi="Arial" w:cs="Arial"/>
          <w:sz w:val="20"/>
          <w:szCs w:val="20"/>
          <w:highlight w:val="white"/>
        </w:rPr>
        <w:t xml:space="preserve">con los datos de noviembre de 2019, la plataforma ha registrado </w:t>
      </w:r>
      <w:r>
        <w:rPr>
          <w:rFonts w:ascii="Arial" w:eastAsia="Arial" w:hAnsi="Arial" w:cs="Arial"/>
          <w:color w:val="000000"/>
          <w:sz w:val="20"/>
          <w:szCs w:val="20"/>
          <w:highlight w:val="white"/>
        </w:rPr>
        <w:t xml:space="preserve">una caída del </w:t>
      </w:r>
      <w:r>
        <w:rPr>
          <w:rFonts w:ascii="Arial" w:eastAsia="Arial" w:hAnsi="Arial" w:cs="Arial"/>
          <w:color w:val="000000"/>
          <w:sz w:val="20"/>
          <w:szCs w:val="20"/>
        </w:rPr>
        <w:t>41% del volumen de vacantes publicadas respecto al mismo periodo del año anterior</w:t>
      </w:r>
      <w:r>
        <w:rPr>
          <w:rFonts w:ascii="Arial" w:eastAsia="Arial" w:hAnsi="Arial" w:cs="Arial"/>
          <w:color w:val="000000"/>
          <w:sz w:val="20"/>
          <w:szCs w:val="20"/>
          <w:highlight w:val="white"/>
        </w:rPr>
        <w:t>, cuando se registraron 218.600 vacantes.</w:t>
      </w:r>
    </w:p>
    <w:p w14:paraId="0000000E"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p w14:paraId="0000000F" w14:textId="77777777" w:rsidR="00270AD8" w:rsidRDefault="00270AD8">
      <w:pPr>
        <w:pBdr>
          <w:top w:val="nil"/>
          <w:left w:val="nil"/>
          <w:bottom w:val="nil"/>
          <w:right w:val="nil"/>
          <w:between w:val="nil"/>
        </w:pBdr>
        <w:spacing w:line="360" w:lineRule="auto"/>
        <w:jc w:val="both"/>
        <w:rPr>
          <w:rFonts w:ascii="Arial" w:eastAsia="Arial" w:hAnsi="Arial" w:cs="Arial"/>
          <w:sz w:val="20"/>
          <w:szCs w:val="20"/>
        </w:rPr>
      </w:pPr>
    </w:p>
    <w:p w14:paraId="00000010" w14:textId="77777777" w:rsidR="00270AD8" w:rsidRDefault="007E7E54">
      <w:pPr>
        <w:pBdr>
          <w:top w:val="nil"/>
          <w:left w:val="nil"/>
          <w:bottom w:val="nil"/>
          <w:right w:val="nil"/>
          <w:between w:val="nil"/>
        </w:pBdr>
        <w:spacing w:line="360" w:lineRule="auto"/>
        <w:rPr>
          <w:rFonts w:ascii="Arial" w:eastAsia="Arial" w:hAnsi="Arial" w:cs="Arial"/>
          <w:color w:val="FF0000"/>
          <w:sz w:val="22"/>
          <w:szCs w:val="22"/>
        </w:rPr>
      </w:pPr>
      <w:r>
        <w:rPr>
          <w:rFonts w:ascii="Arial" w:eastAsia="Arial" w:hAnsi="Arial" w:cs="Arial"/>
          <w:color w:val="0070C0"/>
          <w:sz w:val="22"/>
          <w:szCs w:val="22"/>
        </w:rPr>
        <w:t>Comercial y ventas, Informática y Telecomunicaciones y Atención a clientes que han sido motores de empleo durante la pandemia, registran importantes descensos</w:t>
      </w:r>
      <w:r>
        <w:rPr>
          <w:rFonts w:ascii="Arial" w:eastAsia="Arial" w:hAnsi="Arial" w:cs="Arial"/>
          <w:b/>
          <w:color w:val="0070C0"/>
          <w:sz w:val="20"/>
          <w:szCs w:val="20"/>
        </w:rPr>
        <w:t xml:space="preserve"> </w:t>
      </w:r>
      <w:r>
        <w:rPr>
          <w:rFonts w:ascii="Arial" w:eastAsia="Arial" w:hAnsi="Arial" w:cs="Arial"/>
          <w:color w:val="0070C0"/>
          <w:sz w:val="20"/>
          <w:szCs w:val="20"/>
        </w:rPr>
        <w:t>(-44%)</w:t>
      </w:r>
    </w:p>
    <w:p w14:paraId="00000011" w14:textId="77777777" w:rsidR="00270AD8" w:rsidRDefault="00270AD8">
      <w:pPr>
        <w:pBdr>
          <w:top w:val="nil"/>
          <w:left w:val="nil"/>
          <w:bottom w:val="nil"/>
          <w:right w:val="nil"/>
          <w:between w:val="nil"/>
        </w:pBdr>
        <w:spacing w:line="360" w:lineRule="auto"/>
        <w:jc w:val="both"/>
        <w:rPr>
          <w:rFonts w:ascii="Arial" w:eastAsia="Arial" w:hAnsi="Arial" w:cs="Arial"/>
          <w:sz w:val="20"/>
          <w:szCs w:val="20"/>
        </w:rPr>
      </w:pPr>
    </w:p>
    <w:p w14:paraId="00000012" w14:textId="77777777" w:rsidR="00270AD8" w:rsidRDefault="007E7E54">
      <w:pPr>
        <w:pBdr>
          <w:top w:val="nil"/>
          <w:left w:val="nil"/>
          <w:bottom w:val="nil"/>
          <w:right w:val="nil"/>
          <w:between w:val="nil"/>
        </w:pBdr>
        <w:spacing w:line="360" w:lineRule="auto"/>
        <w:jc w:val="both"/>
        <w:rPr>
          <w:rFonts w:ascii="Arial" w:eastAsia="Arial" w:hAnsi="Arial" w:cs="Arial"/>
          <w:sz w:val="20"/>
          <w:szCs w:val="20"/>
          <w:highlight w:val="white"/>
        </w:rPr>
      </w:pPr>
      <w:r>
        <w:rPr>
          <w:rFonts w:ascii="Arial" w:eastAsia="Arial" w:hAnsi="Arial" w:cs="Arial"/>
          <w:sz w:val="20"/>
          <w:szCs w:val="20"/>
          <w:highlight w:val="white"/>
        </w:rPr>
        <w:t>Las categorías Comercial y ventas, Informática y Telecomunicaciones y Atención a clientes que han sido motor de empleo durante la pandemia y aglutinan gran parte de las vacantes (el 43% del total), registran importantes descensos; en total acumulan una caída del 44% respecto a octubre:</w:t>
      </w:r>
    </w:p>
    <w:p w14:paraId="00000013" w14:textId="77777777" w:rsidR="00270AD8" w:rsidRDefault="00270AD8">
      <w:pPr>
        <w:pBdr>
          <w:top w:val="nil"/>
          <w:left w:val="nil"/>
          <w:bottom w:val="nil"/>
          <w:right w:val="nil"/>
          <w:between w:val="nil"/>
        </w:pBdr>
        <w:spacing w:line="360" w:lineRule="auto"/>
        <w:jc w:val="both"/>
        <w:rPr>
          <w:rFonts w:ascii="Arial" w:eastAsia="Arial" w:hAnsi="Arial" w:cs="Arial"/>
          <w:b/>
          <w:sz w:val="20"/>
          <w:szCs w:val="20"/>
          <w:highlight w:val="white"/>
        </w:rPr>
      </w:pPr>
    </w:p>
    <w:p w14:paraId="00000014" w14:textId="77777777" w:rsidR="00270AD8" w:rsidRDefault="007E7E54">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highlight w:val="white"/>
        </w:rPr>
        <w:t>En concreto,</w:t>
      </w:r>
      <w:r>
        <w:rPr>
          <w:rFonts w:ascii="Arial" w:eastAsia="Arial" w:hAnsi="Arial" w:cs="Arial"/>
          <w:b/>
          <w:sz w:val="20"/>
          <w:szCs w:val="20"/>
          <w:highlight w:val="white"/>
        </w:rPr>
        <w:t xml:space="preserve"> Comercial y ventas, </w:t>
      </w:r>
      <w:r>
        <w:rPr>
          <w:rFonts w:ascii="Arial" w:eastAsia="Arial" w:hAnsi="Arial" w:cs="Arial"/>
          <w:sz w:val="20"/>
          <w:szCs w:val="20"/>
          <w:highlight w:val="white"/>
        </w:rPr>
        <w:t xml:space="preserve">que registra </w:t>
      </w:r>
      <w:r>
        <w:rPr>
          <w:rFonts w:ascii="Arial" w:eastAsia="Arial" w:hAnsi="Arial" w:cs="Arial"/>
          <w:b/>
          <w:sz w:val="20"/>
          <w:szCs w:val="20"/>
          <w:highlight w:val="white"/>
        </w:rPr>
        <w:t>31.453 vacantes</w:t>
      </w:r>
      <w:r>
        <w:rPr>
          <w:rFonts w:ascii="Arial" w:eastAsia="Arial" w:hAnsi="Arial" w:cs="Arial"/>
          <w:sz w:val="20"/>
          <w:szCs w:val="20"/>
          <w:highlight w:val="white"/>
        </w:rPr>
        <w:t xml:space="preserve"> (el </w:t>
      </w:r>
      <w:r>
        <w:rPr>
          <w:rFonts w:ascii="Arial" w:eastAsia="Arial" w:hAnsi="Arial" w:cs="Arial"/>
          <w:b/>
          <w:sz w:val="20"/>
          <w:szCs w:val="20"/>
          <w:highlight w:val="white"/>
        </w:rPr>
        <w:t>24% del total</w:t>
      </w:r>
      <w:r>
        <w:rPr>
          <w:rFonts w:ascii="Arial" w:eastAsia="Arial" w:hAnsi="Arial" w:cs="Arial"/>
          <w:sz w:val="20"/>
          <w:szCs w:val="20"/>
          <w:highlight w:val="white"/>
        </w:rPr>
        <w:t xml:space="preserve"> en InfoJobs), ha </w:t>
      </w:r>
      <w:r>
        <w:rPr>
          <w:rFonts w:ascii="Arial" w:eastAsia="Arial" w:hAnsi="Arial" w:cs="Arial"/>
          <w:b/>
          <w:sz w:val="20"/>
          <w:szCs w:val="20"/>
          <w:highlight w:val="white"/>
        </w:rPr>
        <w:t xml:space="preserve">decrecido un 9% </w:t>
      </w:r>
      <w:r>
        <w:rPr>
          <w:rFonts w:ascii="Arial" w:eastAsia="Arial" w:hAnsi="Arial" w:cs="Arial"/>
          <w:sz w:val="20"/>
          <w:szCs w:val="20"/>
          <w:highlight w:val="white"/>
        </w:rPr>
        <w:t>respecto al mes</w:t>
      </w:r>
      <w:r>
        <w:t xml:space="preserve"> </w:t>
      </w:r>
      <w:r>
        <w:rPr>
          <w:rFonts w:ascii="Arial" w:eastAsia="Arial" w:hAnsi="Arial" w:cs="Arial"/>
          <w:sz w:val="20"/>
          <w:szCs w:val="20"/>
          <w:highlight w:val="white"/>
        </w:rPr>
        <w:t xml:space="preserve">anterior y un </w:t>
      </w:r>
      <w:r>
        <w:rPr>
          <w:rFonts w:ascii="Arial" w:eastAsia="Arial" w:hAnsi="Arial" w:cs="Arial"/>
          <w:b/>
          <w:sz w:val="20"/>
          <w:szCs w:val="20"/>
          <w:highlight w:val="white"/>
        </w:rPr>
        <w:t>16%</w:t>
      </w:r>
      <w:r>
        <w:rPr>
          <w:rFonts w:ascii="Arial" w:eastAsia="Arial" w:hAnsi="Arial" w:cs="Arial"/>
          <w:sz w:val="20"/>
          <w:szCs w:val="20"/>
          <w:highlight w:val="white"/>
        </w:rPr>
        <w:t xml:space="preserve"> respecto a noviembre de 2019. </w:t>
      </w:r>
      <w:r>
        <w:rPr>
          <w:rFonts w:ascii="Arial" w:eastAsia="Arial" w:hAnsi="Arial" w:cs="Arial"/>
          <w:color w:val="000000"/>
          <w:sz w:val="20"/>
          <w:szCs w:val="20"/>
        </w:rPr>
        <w:t xml:space="preserve">Le sigue la </w:t>
      </w:r>
      <w:r>
        <w:rPr>
          <w:rFonts w:ascii="Arial" w:eastAsia="Arial" w:hAnsi="Arial" w:cs="Arial"/>
          <w:color w:val="000000"/>
          <w:sz w:val="20"/>
          <w:szCs w:val="20"/>
        </w:rPr>
        <w:lastRenderedPageBreak/>
        <w:t xml:space="preserve">categoría </w:t>
      </w:r>
      <w:r>
        <w:rPr>
          <w:rFonts w:ascii="Arial" w:eastAsia="Arial" w:hAnsi="Arial" w:cs="Arial"/>
          <w:b/>
          <w:color w:val="000000"/>
          <w:sz w:val="20"/>
          <w:szCs w:val="20"/>
          <w:highlight w:val="white"/>
        </w:rPr>
        <w:t xml:space="preserve">Informática y telecomunicaciones </w:t>
      </w:r>
      <w:r>
        <w:rPr>
          <w:rFonts w:ascii="Arial" w:eastAsia="Arial" w:hAnsi="Arial" w:cs="Arial"/>
          <w:color w:val="000000"/>
          <w:sz w:val="20"/>
          <w:szCs w:val="20"/>
          <w:highlight w:val="white"/>
        </w:rPr>
        <w:t>con</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 xml:space="preserve">13.401 vacantes (el 10% total). </w:t>
      </w:r>
      <w:r>
        <w:rPr>
          <w:rFonts w:ascii="Arial" w:eastAsia="Arial" w:hAnsi="Arial" w:cs="Arial"/>
          <w:color w:val="000000"/>
          <w:sz w:val="20"/>
          <w:szCs w:val="20"/>
        </w:rPr>
        <w:t>En este caso,</w:t>
      </w:r>
      <w:r>
        <w:rPr>
          <w:rFonts w:ascii="Arial" w:eastAsia="Arial" w:hAnsi="Arial" w:cs="Arial"/>
          <w:b/>
          <w:color w:val="000000"/>
          <w:sz w:val="20"/>
          <w:szCs w:val="20"/>
        </w:rPr>
        <w:t xml:space="preserve"> han descendido un 14% </w:t>
      </w:r>
      <w:r>
        <w:rPr>
          <w:rFonts w:ascii="Arial" w:eastAsia="Arial" w:hAnsi="Arial" w:cs="Arial"/>
          <w:color w:val="000000"/>
          <w:sz w:val="20"/>
          <w:szCs w:val="20"/>
        </w:rPr>
        <w:t xml:space="preserve">respecto al mes anterior y </w:t>
      </w:r>
      <w:r>
        <w:rPr>
          <w:rFonts w:ascii="Arial" w:eastAsia="Arial" w:hAnsi="Arial" w:cs="Arial"/>
          <w:b/>
          <w:color w:val="000000"/>
          <w:sz w:val="20"/>
          <w:szCs w:val="20"/>
        </w:rPr>
        <w:t>también</w:t>
      </w:r>
      <w:r>
        <w:rPr>
          <w:rFonts w:ascii="Arial" w:eastAsia="Arial" w:hAnsi="Arial" w:cs="Arial"/>
          <w:color w:val="000000"/>
          <w:sz w:val="20"/>
          <w:szCs w:val="20"/>
        </w:rPr>
        <w:t xml:space="preserve"> están lejos respecto a 2019 ya que </w:t>
      </w:r>
      <w:r>
        <w:rPr>
          <w:rFonts w:ascii="Arial" w:eastAsia="Arial" w:hAnsi="Arial" w:cs="Arial"/>
          <w:b/>
          <w:color w:val="000000"/>
          <w:sz w:val="20"/>
          <w:szCs w:val="20"/>
        </w:rPr>
        <w:t>han caído un 35</w:t>
      </w:r>
      <w:r>
        <w:rPr>
          <w:rFonts w:ascii="Arial" w:eastAsia="Arial" w:hAnsi="Arial" w:cs="Arial"/>
          <w:color w:val="000000"/>
          <w:sz w:val="20"/>
          <w:szCs w:val="20"/>
        </w:rPr>
        <w:t xml:space="preserve">%. Y, finalmente, </w:t>
      </w:r>
      <w:r>
        <w:rPr>
          <w:rFonts w:ascii="Arial" w:eastAsia="Arial" w:hAnsi="Arial" w:cs="Arial"/>
          <w:b/>
          <w:sz w:val="20"/>
          <w:szCs w:val="20"/>
        </w:rPr>
        <w:t>Atención a clientes</w:t>
      </w:r>
      <w:r>
        <w:rPr>
          <w:rFonts w:ascii="Arial" w:eastAsia="Arial" w:hAnsi="Arial" w:cs="Arial"/>
          <w:sz w:val="20"/>
          <w:szCs w:val="20"/>
        </w:rPr>
        <w:t xml:space="preserve"> que ha registrado </w:t>
      </w:r>
      <w:r>
        <w:rPr>
          <w:rFonts w:ascii="Arial" w:eastAsia="Arial" w:hAnsi="Arial" w:cs="Arial"/>
          <w:b/>
          <w:sz w:val="20"/>
          <w:szCs w:val="20"/>
        </w:rPr>
        <w:t xml:space="preserve">11.729 vacantes (9% del total). </w:t>
      </w:r>
      <w:r>
        <w:rPr>
          <w:rFonts w:ascii="Arial" w:eastAsia="Arial" w:hAnsi="Arial" w:cs="Arial"/>
          <w:sz w:val="20"/>
          <w:szCs w:val="20"/>
        </w:rPr>
        <w:t>Esta categoría ha</w:t>
      </w:r>
      <w:r>
        <w:rPr>
          <w:rFonts w:ascii="Arial" w:eastAsia="Arial" w:hAnsi="Arial" w:cs="Arial"/>
          <w:b/>
          <w:sz w:val="20"/>
          <w:szCs w:val="20"/>
        </w:rPr>
        <w:t xml:space="preserve"> descendido un 21%</w:t>
      </w:r>
      <w:r>
        <w:rPr>
          <w:rFonts w:ascii="Arial" w:eastAsia="Arial" w:hAnsi="Arial" w:cs="Arial"/>
          <w:sz w:val="20"/>
          <w:szCs w:val="20"/>
        </w:rPr>
        <w:t xml:space="preserve"> respecto a octubre y un </w:t>
      </w:r>
      <w:r>
        <w:rPr>
          <w:rFonts w:ascii="Arial" w:eastAsia="Arial" w:hAnsi="Arial" w:cs="Arial"/>
          <w:b/>
          <w:sz w:val="20"/>
          <w:szCs w:val="20"/>
        </w:rPr>
        <w:t>62%</w:t>
      </w:r>
      <w:r>
        <w:rPr>
          <w:rFonts w:ascii="Arial" w:eastAsia="Arial" w:hAnsi="Arial" w:cs="Arial"/>
          <w:sz w:val="20"/>
          <w:szCs w:val="20"/>
        </w:rPr>
        <w:t xml:space="preserve"> en comparación al año anterior.</w:t>
      </w:r>
    </w:p>
    <w:p w14:paraId="00000015"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p w14:paraId="00000016" w14:textId="77777777" w:rsidR="00270AD8" w:rsidRDefault="007E7E54">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 xml:space="preserve">Por otro lado, </w:t>
      </w:r>
      <w:r>
        <w:rPr>
          <w:rFonts w:ascii="Arial" w:eastAsia="Arial" w:hAnsi="Arial" w:cs="Arial"/>
          <w:b/>
          <w:color w:val="000000"/>
          <w:sz w:val="20"/>
          <w:szCs w:val="20"/>
        </w:rPr>
        <w:t>los sectores que más han caído</w:t>
      </w:r>
      <w:r>
        <w:rPr>
          <w:rFonts w:ascii="Arial" w:eastAsia="Arial" w:hAnsi="Arial" w:cs="Arial"/>
          <w:color w:val="000000"/>
          <w:sz w:val="20"/>
          <w:szCs w:val="20"/>
        </w:rPr>
        <w:t xml:space="preserve"> respecto al mes pasado son </w:t>
      </w:r>
      <w:r>
        <w:rPr>
          <w:rFonts w:ascii="Arial" w:eastAsia="Arial" w:hAnsi="Arial" w:cs="Arial"/>
          <w:b/>
          <w:color w:val="000000"/>
          <w:sz w:val="20"/>
          <w:szCs w:val="20"/>
        </w:rPr>
        <w:t>Educación y Formación</w:t>
      </w:r>
      <w:r>
        <w:rPr>
          <w:rFonts w:ascii="Arial" w:eastAsia="Arial" w:hAnsi="Arial" w:cs="Arial"/>
          <w:color w:val="000000"/>
          <w:sz w:val="20"/>
          <w:szCs w:val="20"/>
        </w:rPr>
        <w:t xml:space="preserve">, con </w:t>
      </w:r>
      <w:r>
        <w:rPr>
          <w:rFonts w:ascii="Arial" w:eastAsia="Arial" w:hAnsi="Arial" w:cs="Arial"/>
          <w:b/>
          <w:color w:val="000000"/>
          <w:sz w:val="20"/>
          <w:szCs w:val="20"/>
        </w:rPr>
        <w:t xml:space="preserve">3.754 </w:t>
      </w:r>
      <w:r>
        <w:rPr>
          <w:rFonts w:ascii="Arial" w:eastAsia="Arial" w:hAnsi="Arial" w:cs="Arial"/>
          <w:color w:val="000000"/>
          <w:sz w:val="20"/>
          <w:szCs w:val="20"/>
        </w:rPr>
        <w:t xml:space="preserve">vacantes </w:t>
      </w:r>
      <w:r>
        <w:rPr>
          <w:rFonts w:ascii="Arial" w:eastAsia="Arial" w:hAnsi="Arial" w:cs="Arial"/>
          <w:b/>
          <w:sz w:val="20"/>
          <w:szCs w:val="20"/>
        </w:rPr>
        <w:t>(-</w:t>
      </w:r>
      <w:r>
        <w:rPr>
          <w:rFonts w:ascii="Arial" w:eastAsia="Arial" w:hAnsi="Arial" w:cs="Arial"/>
          <w:b/>
          <w:color w:val="000000"/>
          <w:sz w:val="20"/>
          <w:szCs w:val="20"/>
        </w:rPr>
        <w:t>46%)</w:t>
      </w:r>
      <w:r>
        <w:rPr>
          <w:rFonts w:ascii="Arial" w:eastAsia="Arial" w:hAnsi="Arial" w:cs="Arial"/>
          <w:sz w:val="20"/>
          <w:szCs w:val="20"/>
        </w:rPr>
        <w:t xml:space="preserve"> y </w:t>
      </w:r>
      <w:r>
        <w:rPr>
          <w:rFonts w:ascii="Arial" w:eastAsia="Arial" w:hAnsi="Arial" w:cs="Arial"/>
          <w:color w:val="000000"/>
          <w:sz w:val="20"/>
          <w:szCs w:val="20"/>
        </w:rPr>
        <w:t xml:space="preserve">le sigue </w:t>
      </w:r>
      <w:r>
        <w:rPr>
          <w:rFonts w:ascii="Arial" w:eastAsia="Arial" w:hAnsi="Arial" w:cs="Arial"/>
          <w:b/>
          <w:color w:val="000000"/>
          <w:sz w:val="20"/>
          <w:szCs w:val="20"/>
        </w:rPr>
        <w:t xml:space="preserve">Venta al detalle </w:t>
      </w:r>
      <w:r>
        <w:rPr>
          <w:rFonts w:ascii="Arial" w:eastAsia="Arial" w:hAnsi="Arial" w:cs="Arial"/>
          <w:color w:val="000000"/>
          <w:sz w:val="20"/>
          <w:szCs w:val="20"/>
        </w:rPr>
        <w:t>con</w:t>
      </w:r>
      <w:r>
        <w:rPr>
          <w:rFonts w:ascii="Arial" w:eastAsia="Arial" w:hAnsi="Arial" w:cs="Arial"/>
          <w:b/>
          <w:color w:val="000000"/>
          <w:sz w:val="20"/>
          <w:szCs w:val="20"/>
        </w:rPr>
        <w:t xml:space="preserve"> 2.605 </w:t>
      </w:r>
      <w:r>
        <w:rPr>
          <w:rFonts w:ascii="Arial" w:eastAsia="Arial" w:hAnsi="Arial" w:cs="Arial"/>
          <w:color w:val="000000"/>
          <w:sz w:val="20"/>
          <w:szCs w:val="20"/>
        </w:rPr>
        <w:t xml:space="preserve">vacantes registradas que ha descendido </w:t>
      </w:r>
      <w:r>
        <w:rPr>
          <w:rFonts w:ascii="Arial" w:eastAsia="Arial" w:hAnsi="Arial" w:cs="Arial"/>
          <w:b/>
          <w:color w:val="000000"/>
          <w:sz w:val="20"/>
          <w:szCs w:val="20"/>
        </w:rPr>
        <w:t>un 30%</w:t>
      </w:r>
      <w:r>
        <w:rPr>
          <w:rFonts w:ascii="Arial" w:eastAsia="Arial" w:hAnsi="Arial" w:cs="Arial"/>
          <w:color w:val="000000"/>
          <w:sz w:val="20"/>
          <w:szCs w:val="20"/>
        </w:rPr>
        <w:t xml:space="preserve"> </w:t>
      </w:r>
    </w:p>
    <w:p w14:paraId="00000017" w14:textId="77777777" w:rsidR="00270AD8" w:rsidRDefault="00270AD8">
      <w:pPr>
        <w:pBdr>
          <w:top w:val="nil"/>
          <w:left w:val="nil"/>
          <w:bottom w:val="nil"/>
          <w:right w:val="nil"/>
          <w:between w:val="nil"/>
        </w:pBdr>
        <w:spacing w:line="360" w:lineRule="auto"/>
        <w:jc w:val="both"/>
        <w:rPr>
          <w:rFonts w:ascii="Arial" w:eastAsia="Arial" w:hAnsi="Arial" w:cs="Arial"/>
          <w:sz w:val="20"/>
          <w:szCs w:val="20"/>
        </w:rPr>
      </w:pPr>
    </w:p>
    <w:p w14:paraId="00000018" w14:textId="77777777" w:rsidR="00270AD8" w:rsidRDefault="007E7E54">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color w:val="000000"/>
          <w:sz w:val="20"/>
          <w:szCs w:val="20"/>
        </w:rPr>
        <w:t>En noviembre</w:t>
      </w:r>
      <w:r>
        <w:rPr>
          <w:rFonts w:ascii="Arial" w:eastAsia="Arial" w:hAnsi="Arial" w:cs="Arial"/>
          <w:b/>
          <w:color w:val="000000"/>
          <w:sz w:val="20"/>
          <w:szCs w:val="20"/>
        </w:rPr>
        <w:t xml:space="preserve"> las únicas categorías que se han mant</w:t>
      </w:r>
      <w:r>
        <w:rPr>
          <w:rFonts w:ascii="Arial" w:eastAsia="Arial" w:hAnsi="Arial" w:cs="Arial"/>
          <w:b/>
          <w:sz w:val="20"/>
          <w:szCs w:val="20"/>
        </w:rPr>
        <w:t>enido</w:t>
      </w:r>
      <w:r>
        <w:rPr>
          <w:rFonts w:ascii="Arial" w:eastAsia="Arial" w:hAnsi="Arial" w:cs="Arial"/>
          <w:b/>
          <w:color w:val="000000"/>
          <w:sz w:val="20"/>
          <w:szCs w:val="20"/>
        </w:rPr>
        <w:t xml:space="preserve"> en volumen de vacantes </w:t>
      </w:r>
      <w:r>
        <w:rPr>
          <w:rFonts w:ascii="Arial" w:eastAsia="Arial" w:hAnsi="Arial" w:cs="Arial"/>
          <w:color w:val="000000"/>
          <w:sz w:val="20"/>
          <w:szCs w:val="20"/>
        </w:rPr>
        <w:t>de empleo respecto al mes anterior son</w:t>
      </w:r>
      <w:r>
        <w:rPr>
          <w:rFonts w:ascii="Arial" w:eastAsia="Arial" w:hAnsi="Arial" w:cs="Arial"/>
          <w:b/>
          <w:color w:val="000000"/>
          <w:sz w:val="20"/>
          <w:szCs w:val="20"/>
        </w:rPr>
        <w:t xml:space="preserve"> Compras, logística y almacén</w:t>
      </w:r>
      <w:r>
        <w:rPr>
          <w:rFonts w:ascii="Arial" w:eastAsia="Arial" w:hAnsi="Arial" w:cs="Arial"/>
          <w:color w:val="000000"/>
          <w:sz w:val="20"/>
          <w:szCs w:val="20"/>
        </w:rPr>
        <w:t xml:space="preserve">, con </w:t>
      </w:r>
      <w:r>
        <w:rPr>
          <w:rFonts w:ascii="Arial" w:eastAsia="Arial" w:hAnsi="Arial" w:cs="Arial"/>
          <w:b/>
          <w:color w:val="000000"/>
          <w:sz w:val="20"/>
          <w:szCs w:val="20"/>
        </w:rPr>
        <w:t xml:space="preserve">17.742 vacantes, </w:t>
      </w:r>
      <w:r>
        <w:rPr>
          <w:rFonts w:ascii="Arial" w:eastAsia="Arial" w:hAnsi="Arial" w:cs="Arial"/>
          <w:color w:val="000000"/>
          <w:sz w:val="20"/>
          <w:szCs w:val="20"/>
        </w:rPr>
        <w:t xml:space="preserve">(crece un 1%). Seguido de </w:t>
      </w:r>
      <w:r>
        <w:rPr>
          <w:rFonts w:ascii="Arial" w:eastAsia="Arial" w:hAnsi="Arial" w:cs="Arial"/>
          <w:b/>
          <w:color w:val="000000"/>
          <w:sz w:val="20"/>
          <w:szCs w:val="20"/>
        </w:rPr>
        <w:t>Sanidad y Salud</w:t>
      </w:r>
      <w:r>
        <w:rPr>
          <w:rFonts w:ascii="Arial" w:eastAsia="Arial" w:hAnsi="Arial" w:cs="Arial"/>
          <w:color w:val="000000"/>
          <w:sz w:val="20"/>
          <w:szCs w:val="20"/>
        </w:rPr>
        <w:t xml:space="preserve">, con 6.739 vacantes (0%), </w:t>
      </w:r>
      <w:r>
        <w:rPr>
          <w:rFonts w:ascii="Arial" w:eastAsia="Arial" w:hAnsi="Arial" w:cs="Arial"/>
          <w:b/>
          <w:color w:val="000000"/>
          <w:sz w:val="20"/>
          <w:szCs w:val="20"/>
        </w:rPr>
        <w:t>Inmobiliario y construcción</w:t>
      </w:r>
      <w:r>
        <w:rPr>
          <w:rFonts w:ascii="Arial" w:eastAsia="Arial" w:hAnsi="Arial" w:cs="Arial"/>
          <w:color w:val="000000"/>
          <w:sz w:val="20"/>
          <w:szCs w:val="20"/>
        </w:rPr>
        <w:t xml:space="preserve">, con 2.737 vacantes (+2%) y, finalmente, el sector </w:t>
      </w:r>
      <w:r>
        <w:rPr>
          <w:rFonts w:ascii="Arial" w:eastAsia="Arial" w:hAnsi="Arial" w:cs="Arial"/>
          <w:b/>
          <w:color w:val="000000"/>
          <w:sz w:val="20"/>
          <w:szCs w:val="20"/>
        </w:rPr>
        <w:t>Finanzas y banca</w:t>
      </w:r>
      <w:r>
        <w:rPr>
          <w:rFonts w:ascii="Arial" w:eastAsia="Arial" w:hAnsi="Arial" w:cs="Arial"/>
          <w:color w:val="000000"/>
          <w:sz w:val="20"/>
          <w:szCs w:val="20"/>
        </w:rPr>
        <w:t>, con 1.388 vacantes (0%).</w:t>
      </w:r>
    </w:p>
    <w:p w14:paraId="00000019"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p w14:paraId="000000CA" w14:textId="4316F6BA" w:rsidR="00270AD8" w:rsidRDefault="007E7E54" w:rsidP="00D97956">
      <w:pPr>
        <w:pBdr>
          <w:top w:val="nil"/>
          <w:left w:val="nil"/>
          <w:bottom w:val="nil"/>
          <w:right w:val="nil"/>
          <w:between w:val="nil"/>
        </w:pBdr>
        <w:spacing w:line="360" w:lineRule="auto"/>
        <w:jc w:val="both"/>
        <w:rPr>
          <w:rFonts w:ascii="Arial" w:eastAsia="Arial" w:hAnsi="Arial" w:cs="Arial"/>
          <w:b/>
          <w:sz w:val="20"/>
          <w:szCs w:val="20"/>
        </w:rPr>
      </w:pPr>
      <w:r>
        <w:rPr>
          <w:rFonts w:ascii="Arial" w:eastAsia="Arial" w:hAnsi="Arial" w:cs="Arial"/>
          <w:sz w:val="20"/>
          <w:szCs w:val="20"/>
        </w:rPr>
        <w:t xml:space="preserve">El </w:t>
      </w:r>
      <w:r>
        <w:rPr>
          <w:rFonts w:ascii="Arial" w:eastAsia="Arial" w:hAnsi="Arial" w:cs="Arial"/>
          <w:b/>
          <w:sz w:val="20"/>
          <w:szCs w:val="20"/>
        </w:rPr>
        <w:t xml:space="preserve">sector turístico y restauración mantiene un volumen muy bajo, </w:t>
      </w:r>
      <w:r>
        <w:rPr>
          <w:rFonts w:ascii="Arial" w:eastAsia="Arial" w:hAnsi="Arial" w:cs="Arial"/>
          <w:sz w:val="20"/>
          <w:szCs w:val="20"/>
        </w:rPr>
        <w:t xml:space="preserve">con </w:t>
      </w:r>
      <w:r>
        <w:rPr>
          <w:rFonts w:ascii="Arial" w:eastAsia="Arial" w:hAnsi="Arial" w:cs="Arial"/>
          <w:b/>
          <w:sz w:val="20"/>
          <w:szCs w:val="20"/>
        </w:rPr>
        <w:t>2.608 vacantes en</w:t>
      </w:r>
      <w:r w:rsidR="002110EA">
        <w:rPr>
          <w:rFonts w:ascii="Arial" w:eastAsia="Arial" w:hAnsi="Arial" w:cs="Arial"/>
          <w:b/>
          <w:sz w:val="20"/>
          <w:szCs w:val="20"/>
        </w:rPr>
        <w:t xml:space="preserve"> noviembre. </w:t>
      </w:r>
      <w:r>
        <w:rPr>
          <w:rFonts w:ascii="Arial" w:eastAsia="Arial" w:hAnsi="Arial" w:cs="Arial"/>
          <w:b/>
          <w:sz w:val="20"/>
          <w:szCs w:val="20"/>
        </w:rPr>
        <w:t xml:space="preserve"> </w:t>
      </w:r>
    </w:p>
    <w:p w14:paraId="3C64B08C" w14:textId="77777777" w:rsidR="00D97956" w:rsidRDefault="00D97956" w:rsidP="00D97956">
      <w:pPr>
        <w:pBdr>
          <w:top w:val="nil"/>
          <w:left w:val="nil"/>
          <w:bottom w:val="nil"/>
          <w:right w:val="nil"/>
          <w:between w:val="nil"/>
        </w:pBdr>
        <w:spacing w:line="360" w:lineRule="auto"/>
        <w:jc w:val="both"/>
        <w:rPr>
          <w:rFonts w:ascii="Arial" w:eastAsia="Arial" w:hAnsi="Arial" w:cs="Arial"/>
          <w:color w:val="000000"/>
          <w:sz w:val="20"/>
          <w:szCs w:val="20"/>
        </w:rPr>
      </w:pPr>
    </w:p>
    <w:p w14:paraId="000000CB" w14:textId="77777777" w:rsidR="00270AD8" w:rsidRDefault="007E7E54">
      <w:pPr>
        <w:pBdr>
          <w:top w:val="nil"/>
          <w:left w:val="nil"/>
          <w:bottom w:val="nil"/>
          <w:right w:val="nil"/>
          <w:between w:val="nil"/>
        </w:pBdr>
        <w:spacing w:line="360" w:lineRule="auto"/>
        <w:jc w:val="both"/>
        <w:rPr>
          <w:color w:val="000000"/>
        </w:rPr>
      </w:pPr>
      <w:r>
        <w:rPr>
          <w:rFonts w:ascii="Arial" w:eastAsia="Arial" w:hAnsi="Arial" w:cs="Arial"/>
          <w:color w:val="3A7AB2"/>
          <w:sz w:val="22"/>
          <w:szCs w:val="22"/>
        </w:rPr>
        <w:t>El 32% de las vacantes ofrecían contrato de duración determinada y el 23% contrato indefinido</w:t>
      </w:r>
    </w:p>
    <w:p w14:paraId="000000CC"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p w14:paraId="000000CD" w14:textId="77777777" w:rsidR="00270AD8" w:rsidRDefault="007E7E54">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Entre las vacantes registradas en InfoJobs en el mes de octubre, se publicaron un total de </w:t>
      </w:r>
      <w:r>
        <w:rPr>
          <w:rFonts w:ascii="Arial" w:eastAsia="Arial" w:hAnsi="Arial" w:cs="Arial"/>
          <w:b/>
          <w:color w:val="000000"/>
          <w:sz w:val="20"/>
          <w:szCs w:val="20"/>
        </w:rPr>
        <w:t>41.633 puestos de trabajo que ofrecían contratación de duración determinada</w:t>
      </w:r>
      <w:r>
        <w:rPr>
          <w:rFonts w:ascii="Arial" w:eastAsia="Arial" w:hAnsi="Arial" w:cs="Arial"/>
          <w:color w:val="000000"/>
          <w:sz w:val="20"/>
          <w:szCs w:val="20"/>
        </w:rPr>
        <w:t>, representando el 32% de las vacantes que informaban sobre la tipología de contrato. Por otro lado, las vacantes con contrato de</w:t>
      </w:r>
      <w:r>
        <w:rPr>
          <w:rFonts w:ascii="Arial" w:eastAsia="Arial" w:hAnsi="Arial" w:cs="Arial"/>
          <w:b/>
          <w:color w:val="000000"/>
          <w:sz w:val="20"/>
          <w:szCs w:val="20"/>
        </w:rPr>
        <w:t xml:space="preserve"> duración indefinida -30.139 vacantes-</w:t>
      </w:r>
      <w:r>
        <w:rPr>
          <w:rFonts w:ascii="Arial" w:eastAsia="Arial" w:hAnsi="Arial" w:cs="Arial"/>
          <w:color w:val="000000"/>
          <w:sz w:val="20"/>
          <w:szCs w:val="20"/>
        </w:rPr>
        <w:t>, representaban</w:t>
      </w:r>
      <w:r>
        <w:t xml:space="preserve"> </w:t>
      </w:r>
      <w:r>
        <w:rPr>
          <w:rFonts w:ascii="Arial" w:eastAsia="Arial" w:hAnsi="Arial" w:cs="Arial"/>
          <w:color w:val="000000"/>
          <w:sz w:val="20"/>
          <w:szCs w:val="20"/>
        </w:rPr>
        <w:t xml:space="preserve">el pasado mes el </w:t>
      </w:r>
      <w:r>
        <w:rPr>
          <w:rFonts w:ascii="Arial" w:eastAsia="Arial" w:hAnsi="Arial" w:cs="Arial"/>
          <w:b/>
          <w:color w:val="000000"/>
          <w:sz w:val="20"/>
          <w:szCs w:val="20"/>
        </w:rPr>
        <w:t>23% de las vacantes</w:t>
      </w:r>
      <w:r>
        <w:rPr>
          <w:rFonts w:ascii="Arial" w:eastAsia="Arial" w:hAnsi="Arial" w:cs="Arial"/>
          <w:color w:val="000000"/>
          <w:sz w:val="20"/>
          <w:szCs w:val="20"/>
        </w:rPr>
        <w:t xml:space="preserve"> de la plataforma. Las cifras en cuanto a la tipología de contrato son muy similares a las del pasado mes pasado.</w:t>
      </w:r>
    </w:p>
    <w:p w14:paraId="000000CE" w14:textId="77777777" w:rsidR="00270AD8" w:rsidRDefault="00270AD8">
      <w:pPr>
        <w:spacing w:line="360" w:lineRule="auto"/>
        <w:jc w:val="both"/>
      </w:pPr>
    </w:p>
    <w:p w14:paraId="000000CF" w14:textId="77777777" w:rsidR="00270AD8" w:rsidRDefault="007E7E5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octubre, en lo que respecta al </w:t>
      </w:r>
      <w:r>
        <w:rPr>
          <w:rFonts w:ascii="Arial" w:eastAsia="Arial" w:hAnsi="Arial" w:cs="Arial"/>
          <w:b/>
          <w:color w:val="000000"/>
          <w:sz w:val="20"/>
          <w:szCs w:val="20"/>
        </w:rPr>
        <w:t>tipo de jornada a realizar</w:t>
      </w:r>
      <w:r>
        <w:rPr>
          <w:rFonts w:ascii="Arial" w:eastAsia="Arial" w:hAnsi="Arial" w:cs="Arial"/>
          <w:color w:val="000000"/>
          <w:sz w:val="20"/>
          <w:szCs w:val="20"/>
        </w:rPr>
        <w:t xml:space="preserve">, predominaron las vacantes que ofrecían </w:t>
      </w:r>
      <w:r>
        <w:rPr>
          <w:rFonts w:ascii="Arial" w:eastAsia="Arial" w:hAnsi="Arial" w:cs="Arial"/>
          <w:b/>
          <w:color w:val="000000"/>
          <w:sz w:val="20"/>
          <w:szCs w:val="20"/>
        </w:rPr>
        <w:t>jornada a tiempo completo</w:t>
      </w:r>
      <w:r>
        <w:rPr>
          <w:rFonts w:ascii="Arial" w:eastAsia="Arial" w:hAnsi="Arial" w:cs="Arial"/>
          <w:color w:val="000000"/>
          <w:sz w:val="20"/>
          <w:szCs w:val="20"/>
        </w:rPr>
        <w:t xml:space="preserve">, representando el </w:t>
      </w:r>
      <w:r>
        <w:rPr>
          <w:rFonts w:ascii="Arial" w:eastAsia="Arial" w:hAnsi="Arial" w:cs="Arial"/>
          <w:b/>
          <w:color w:val="000000"/>
          <w:sz w:val="20"/>
          <w:szCs w:val="20"/>
        </w:rPr>
        <w:t>55% del total</w:t>
      </w:r>
      <w:r>
        <w:rPr>
          <w:rFonts w:ascii="Arial" w:eastAsia="Arial" w:hAnsi="Arial" w:cs="Arial"/>
          <w:color w:val="000000"/>
          <w:sz w:val="20"/>
          <w:szCs w:val="20"/>
        </w:rPr>
        <w:t xml:space="preserve">, y el </w:t>
      </w:r>
      <w:r>
        <w:rPr>
          <w:rFonts w:ascii="Arial" w:eastAsia="Arial" w:hAnsi="Arial" w:cs="Arial"/>
          <w:b/>
          <w:color w:val="000000"/>
          <w:sz w:val="20"/>
          <w:szCs w:val="20"/>
        </w:rPr>
        <w:t>23% de los contratos fueron parciales</w:t>
      </w:r>
      <w:r>
        <w:rPr>
          <w:rFonts w:ascii="Arial" w:eastAsia="Arial" w:hAnsi="Arial" w:cs="Arial"/>
          <w:color w:val="000000"/>
          <w:sz w:val="20"/>
          <w:szCs w:val="20"/>
        </w:rPr>
        <w:t xml:space="preserve">. </w:t>
      </w:r>
    </w:p>
    <w:p w14:paraId="000000D0"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p w14:paraId="000000D1" w14:textId="77777777" w:rsidR="00270AD8" w:rsidRDefault="007E7E54">
      <w:pPr>
        <w:jc w:val="both"/>
        <w:rPr>
          <w:rFonts w:ascii="Arial" w:eastAsia="Arial" w:hAnsi="Arial" w:cs="Arial"/>
          <w:color w:val="3A7AB2"/>
          <w:sz w:val="22"/>
          <w:szCs w:val="22"/>
        </w:rPr>
      </w:pPr>
      <w:r>
        <w:rPr>
          <w:rFonts w:ascii="Arial" w:eastAsia="Arial" w:hAnsi="Arial" w:cs="Arial"/>
          <w:color w:val="3A7AB2"/>
          <w:sz w:val="22"/>
          <w:szCs w:val="22"/>
        </w:rPr>
        <w:t xml:space="preserve">Madrid, Cataluña, Valencia y Andalucía concentran el 66% de los empleos en España </w:t>
      </w:r>
    </w:p>
    <w:p w14:paraId="000000D2" w14:textId="77777777" w:rsidR="00270AD8" w:rsidRDefault="00270AD8">
      <w:pPr>
        <w:jc w:val="both"/>
        <w:rPr>
          <w:rFonts w:ascii="Arial" w:eastAsia="Arial" w:hAnsi="Arial" w:cs="Arial"/>
          <w:color w:val="3A7AB2"/>
          <w:sz w:val="22"/>
          <w:szCs w:val="22"/>
        </w:rPr>
      </w:pPr>
    </w:p>
    <w:p w14:paraId="000000D3" w14:textId="77777777" w:rsidR="00270AD8" w:rsidRDefault="007E7E54">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Una vez más, las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 xml:space="preserve">utónomas que más empleo han generado son </w:t>
      </w:r>
      <w:r>
        <w:rPr>
          <w:rFonts w:ascii="Arial" w:eastAsia="Arial" w:hAnsi="Arial" w:cs="Arial"/>
          <w:b/>
          <w:color w:val="000000"/>
          <w:sz w:val="20"/>
          <w:szCs w:val="20"/>
          <w:highlight w:val="white"/>
        </w:rPr>
        <w:t xml:space="preserve">Madrid, </w:t>
      </w:r>
      <w:r>
        <w:rPr>
          <w:rFonts w:ascii="Arial" w:eastAsia="Arial" w:hAnsi="Arial" w:cs="Arial"/>
          <w:color w:val="000000"/>
          <w:sz w:val="20"/>
          <w:szCs w:val="20"/>
          <w:highlight w:val="white"/>
        </w:rPr>
        <w:t xml:space="preserve">concentrando el </w:t>
      </w:r>
      <w:r>
        <w:rPr>
          <w:rFonts w:ascii="Arial" w:eastAsia="Arial" w:hAnsi="Arial" w:cs="Arial"/>
          <w:b/>
          <w:color w:val="000000"/>
          <w:sz w:val="20"/>
          <w:szCs w:val="20"/>
          <w:highlight w:val="white"/>
        </w:rPr>
        <w:t xml:space="preserve">25% del total de vacantes, </w:t>
      </w:r>
      <w:r>
        <w:rPr>
          <w:rFonts w:ascii="Arial" w:eastAsia="Arial" w:hAnsi="Arial" w:cs="Arial"/>
          <w:sz w:val="20"/>
          <w:szCs w:val="20"/>
          <w:highlight w:val="white"/>
        </w:rPr>
        <w:t>seguida de</w:t>
      </w:r>
      <w:r>
        <w:rPr>
          <w:rFonts w:ascii="Arial" w:eastAsia="Arial" w:hAnsi="Arial" w:cs="Arial"/>
          <w:b/>
          <w:sz w:val="20"/>
          <w:szCs w:val="20"/>
          <w:highlight w:val="white"/>
        </w:rPr>
        <w:t xml:space="preserve"> Cataluña, Valencia y Andalucía</w:t>
      </w:r>
      <w:r>
        <w:rPr>
          <w:rFonts w:ascii="Arial" w:eastAsia="Arial" w:hAnsi="Arial" w:cs="Arial"/>
          <w:color w:val="000000"/>
          <w:sz w:val="20"/>
          <w:szCs w:val="20"/>
          <w:highlight w:val="white"/>
        </w:rPr>
        <w:t xml:space="preserve">. En concreto, InfoJobs recogía un total de </w:t>
      </w:r>
      <w:r>
        <w:rPr>
          <w:rFonts w:ascii="Arial" w:eastAsia="Arial" w:hAnsi="Arial" w:cs="Arial"/>
          <w:b/>
          <w:color w:val="000000"/>
          <w:sz w:val="20"/>
          <w:szCs w:val="20"/>
          <w:highlight w:val="white"/>
        </w:rPr>
        <w:t>32.051 vacantes</w:t>
      </w:r>
      <w:r>
        <w:rPr>
          <w:rFonts w:ascii="Arial" w:eastAsia="Arial" w:hAnsi="Arial" w:cs="Arial"/>
          <w:color w:val="000000"/>
          <w:sz w:val="20"/>
          <w:szCs w:val="20"/>
          <w:highlight w:val="white"/>
        </w:rPr>
        <w:t xml:space="preserve"> para trabajar en la </w:t>
      </w:r>
      <w:r>
        <w:rPr>
          <w:rFonts w:ascii="Arial" w:eastAsia="Arial" w:hAnsi="Arial" w:cs="Arial"/>
          <w:b/>
          <w:color w:val="000000"/>
          <w:sz w:val="20"/>
          <w:szCs w:val="20"/>
          <w:highlight w:val="white"/>
        </w:rPr>
        <w:t>Comunidad de Madrid</w:t>
      </w:r>
      <w:r>
        <w:rPr>
          <w:rFonts w:ascii="Arial" w:eastAsia="Arial" w:hAnsi="Arial" w:cs="Arial"/>
          <w:color w:val="000000"/>
          <w:sz w:val="20"/>
          <w:szCs w:val="20"/>
          <w:highlight w:val="white"/>
        </w:rPr>
        <w:t xml:space="preserve"> en octubre, </w:t>
      </w:r>
      <w:r>
        <w:rPr>
          <w:rFonts w:ascii="Arial" w:eastAsia="Arial" w:hAnsi="Arial" w:cs="Arial"/>
          <w:b/>
          <w:color w:val="000000"/>
          <w:sz w:val="20"/>
          <w:szCs w:val="20"/>
          <w:highlight w:val="white"/>
        </w:rPr>
        <w:t>un 6% menos que el mes anterior</w:t>
      </w:r>
      <w:r>
        <w:rPr>
          <w:rFonts w:ascii="Arial" w:eastAsia="Arial" w:hAnsi="Arial" w:cs="Arial"/>
          <w:color w:val="000000"/>
          <w:sz w:val="20"/>
          <w:szCs w:val="20"/>
          <w:highlight w:val="white"/>
        </w:rPr>
        <w:t xml:space="preserve">. Por su parte, </w:t>
      </w:r>
      <w:r>
        <w:rPr>
          <w:rFonts w:ascii="Arial" w:eastAsia="Arial" w:hAnsi="Arial" w:cs="Arial"/>
          <w:b/>
          <w:color w:val="000000"/>
          <w:sz w:val="20"/>
          <w:szCs w:val="20"/>
          <w:highlight w:val="white"/>
        </w:rPr>
        <w:t>Cataluña</w:t>
      </w:r>
      <w:r>
        <w:rPr>
          <w:rFonts w:ascii="Arial" w:eastAsia="Arial" w:hAnsi="Arial" w:cs="Arial"/>
          <w:color w:val="000000"/>
          <w:sz w:val="20"/>
          <w:szCs w:val="20"/>
          <w:highlight w:val="white"/>
        </w:rPr>
        <w:t xml:space="preserve"> registra</w:t>
      </w:r>
      <w:r>
        <w:rPr>
          <w:rFonts w:ascii="Arial" w:eastAsia="Arial" w:hAnsi="Arial" w:cs="Arial"/>
          <w:b/>
          <w:color w:val="000000"/>
          <w:sz w:val="20"/>
          <w:szCs w:val="20"/>
          <w:highlight w:val="white"/>
        </w:rPr>
        <w:t xml:space="preserve"> 28.054 puestos vacantes, </w:t>
      </w:r>
      <w:r>
        <w:rPr>
          <w:rFonts w:ascii="Arial" w:eastAsia="Arial" w:hAnsi="Arial" w:cs="Arial"/>
          <w:color w:val="000000"/>
          <w:sz w:val="20"/>
          <w:szCs w:val="20"/>
          <w:highlight w:val="white"/>
        </w:rPr>
        <w:t xml:space="preserve">que ha </w:t>
      </w:r>
      <w:r>
        <w:rPr>
          <w:rFonts w:ascii="Arial" w:eastAsia="Arial" w:hAnsi="Arial" w:cs="Arial"/>
          <w:b/>
          <w:color w:val="000000"/>
          <w:sz w:val="20"/>
          <w:szCs w:val="20"/>
          <w:highlight w:val="white"/>
        </w:rPr>
        <w:t xml:space="preserve">decrecido </w:t>
      </w:r>
      <w:r>
        <w:rPr>
          <w:rFonts w:ascii="Arial" w:eastAsia="Arial" w:hAnsi="Arial" w:cs="Arial"/>
          <w:color w:val="000000"/>
          <w:sz w:val="20"/>
          <w:szCs w:val="20"/>
          <w:highlight w:val="white"/>
        </w:rPr>
        <w:t xml:space="preserve">un </w:t>
      </w:r>
      <w:r>
        <w:rPr>
          <w:rFonts w:ascii="Arial" w:eastAsia="Arial" w:hAnsi="Arial" w:cs="Arial"/>
          <w:b/>
          <w:color w:val="000000"/>
          <w:sz w:val="20"/>
          <w:szCs w:val="20"/>
          <w:highlight w:val="white"/>
        </w:rPr>
        <w:t>15%</w:t>
      </w:r>
      <w:r>
        <w:rPr>
          <w:rFonts w:ascii="Arial" w:eastAsia="Arial" w:hAnsi="Arial" w:cs="Arial"/>
          <w:color w:val="000000"/>
          <w:sz w:val="20"/>
          <w:szCs w:val="20"/>
          <w:highlight w:val="white"/>
        </w:rPr>
        <w:t xml:space="preserve"> respecto al mes</w:t>
      </w:r>
      <w:r>
        <w:t xml:space="preserve"> </w:t>
      </w:r>
      <w:r>
        <w:rPr>
          <w:rFonts w:ascii="Arial" w:eastAsia="Arial" w:hAnsi="Arial" w:cs="Arial"/>
          <w:color w:val="000000"/>
          <w:sz w:val="20"/>
          <w:szCs w:val="20"/>
          <w:highlight w:val="white"/>
        </w:rPr>
        <w:t xml:space="preserve">anterior. A éstas les sigue </w:t>
      </w:r>
      <w:r>
        <w:rPr>
          <w:rFonts w:ascii="Arial" w:eastAsia="Arial" w:hAnsi="Arial" w:cs="Arial"/>
          <w:b/>
          <w:color w:val="000000"/>
          <w:sz w:val="20"/>
          <w:szCs w:val="20"/>
          <w:highlight w:val="white"/>
        </w:rPr>
        <w:t>Valencia</w:t>
      </w:r>
      <w:r>
        <w:rPr>
          <w:rFonts w:ascii="Arial" w:eastAsia="Arial" w:hAnsi="Arial" w:cs="Arial"/>
          <w:color w:val="000000"/>
          <w:sz w:val="20"/>
          <w:szCs w:val="20"/>
          <w:highlight w:val="white"/>
        </w:rPr>
        <w:t xml:space="preserve"> que, con </w:t>
      </w:r>
      <w:r>
        <w:rPr>
          <w:rFonts w:ascii="Arial" w:eastAsia="Arial" w:hAnsi="Arial" w:cs="Arial"/>
          <w:b/>
          <w:color w:val="000000"/>
          <w:sz w:val="20"/>
          <w:szCs w:val="20"/>
          <w:highlight w:val="white"/>
        </w:rPr>
        <w:t>13.455 vacantes</w:t>
      </w:r>
      <w:r>
        <w:rPr>
          <w:rFonts w:ascii="Arial" w:eastAsia="Arial" w:hAnsi="Arial" w:cs="Arial"/>
          <w:color w:val="000000"/>
          <w:sz w:val="20"/>
          <w:szCs w:val="20"/>
          <w:highlight w:val="white"/>
        </w:rPr>
        <w:t xml:space="preserve">, registra un </w:t>
      </w:r>
      <w:r>
        <w:rPr>
          <w:rFonts w:ascii="Arial" w:eastAsia="Arial" w:hAnsi="Arial" w:cs="Arial"/>
          <w:b/>
          <w:color w:val="000000"/>
          <w:sz w:val="20"/>
          <w:szCs w:val="20"/>
          <w:highlight w:val="white"/>
        </w:rPr>
        <w:t>descenso</w:t>
      </w:r>
      <w:r>
        <w:rPr>
          <w:rFonts w:ascii="Arial" w:eastAsia="Arial" w:hAnsi="Arial" w:cs="Arial"/>
          <w:color w:val="000000"/>
          <w:sz w:val="20"/>
          <w:szCs w:val="20"/>
          <w:highlight w:val="white"/>
        </w:rPr>
        <w:t xml:space="preserve"> del </w:t>
      </w:r>
      <w:r>
        <w:rPr>
          <w:rFonts w:ascii="Arial" w:eastAsia="Arial" w:hAnsi="Arial" w:cs="Arial"/>
          <w:b/>
          <w:color w:val="000000"/>
          <w:sz w:val="20"/>
          <w:szCs w:val="20"/>
          <w:highlight w:val="white"/>
        </w:rPr>
        <w:t>6%</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y Andalucía</w:t>
      </w:r>
      <w:r>
        <w:rPr>
          <w:rFonts w:ascii="Arial" w:eastAsia="Arial" w:hAnsi="Arial" w:cs="Arial"/>
          <w:color w:val="000000"/>
          <w:sz w:val="20"/>
          <w:szCs w:val="20"/>
          <w:highlight w:val="white"/>
        </w:rPr>
        <w:t xml:space="preserve"> con </w:t>
      </w:r>
      <w:r>
        <w:rPr>
          <w:rFonts w:ascii="Arial" w:eastAsia="Arial" w:hAnsi="Arial" w:cs="Arial"/>
          <w:b/>
          <w:color w:val="000000"/>
          <w:sz w:val="20"/>
          <w:szCs w:val="20"/>
          <w:highlight w:val="white"/>
        </w:rPr>
        <w:t>12.940</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vacantes</w:t>
      </w:r>
      <w:r>
        <w:rPr>
          <w:rFonts w:ascii="Arial" w:eastAsia="Arial" w:hAnsi="Arial" w:cs="Arial"/>
          <w:color w:val="000000"/>
          <w:sz w:val="20"/>
          <w:szCs w:val="20"/>
          <w:highlight w:val="white"/>
        </w:rPr>
        <w:t xml:space="preserve">, que también cae un </w:t>
      </w:r>
      <w:r>
        <w:rPr>
          <w:rFonts w:ascii="Arial" w:eastAsia="Arial" w:hAnsi="Arial" w:cs="Arial"/>
          <w:b/>
          <w:color w:val="000000"/>
          <w:sz w:val="20"/>
          <w:szCs w:val="20"/>
          <w:highlight w:val="white"/>
        </w:rPr>
        <w:t>16%</w:t>
      </w:r>
      <w:r>
        <w:rPr>
          <w:rFonts w:ascii="Arial" w:eastAsia="Arial" w:hAnsi="Arial" w:cs="Arial"/>
          <w:color w:val="000000"/>
          <w:sz w:val="20"/>
          <w:szCs w:val="20"/>
          <w:highlight w:val="white"/>
        </w:rPr>
        <w:t xml:space="preserve"> respecto al mes anterior.</w:t>
      </w:r>
    </w:p>
    <w:p w14:paraId="000000D4"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000000D5" w14:textId="77777777" w:rsidR="00270AD8" w:rsidRDefault="007E7E54">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 xml:space="preserve">Ésta es la evolución de los puestos de trabajo publicados en InfoJobs con la totalidad de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utónomas: </w:t>
      </w:r>
    </w:p>
    <w:p w14:paraId="000000D9"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tbl>
      <w:tblPr>
        <w:tblStyle w:val="a3"/>
        <w:tblW w:w="8990" w:type="dxa"/>
        <w:tblInd w:w="0" w:type="dxa"/>
        <w:tblLayout w:type="fixed"/>
        <w:tblLook w:val="0400" w:firstRow="0" w:lastRow="0" w:firstColumn="0" w:lastColumn="0" w:noHBand="0" w:noVBand="1"/>
      </w:tblPr>
      <w:tblGrid>
        <w:gridCol w:w="2677"/>
        <w:gridCol w:w="1229"/>
        <w:gridCol w:w="1229"/>
        <w:gridCol w:w="1229"/>
        <w:gridCol w:w="1233"/>
        <w:gridCol w:w="1233"/>
        <w:gridCol w:w="160"/>
      </w:tblGrid>
      <w:tr w:rsidR="00270AD8" w14:paraId="48DE394E" w14:textId="77777777">
        <w:trPr>
          <w:gridAfter w:val="1"/>
          <w:wAfter w:w="146" w:type="dxa"/>
          <w:trHeight w:val="276"/>
        </w:trPr>
        <w:tc>
          <w:tcPr>
            <w:tcW w:w="2681" w:type="dxa"/>
            <w:vMerge w:val="restart"/>
            <w:tcBorders>
              <w:top w:val="single" w:sz="8" w:space="0" w:color="000000"/>
              <w:left w:val="single" w:sz="8" w:space="0" w:color="000000"/>
              <w:bottom w:val="nil"/>
              <w:right w:val="single" w:sz="8" w:space="0" w:color="000000"/>
            </w:tcBorders>
            <w:shd w:val="clear" w:color="auto" w:fill="0070C0"/>
            <w:vAlign w:val="center"/>
          </w:tcPr>
          <w:p w14:paraId="000000DA" w14:textId="77777777" w:rsidR="00270AD8" w:rsidRDefault="007E7E54">
            <w:pPr>
              <w:rPr>
                <w:rFonts w:ascii="Arial" w:eastAsia="Arial" w:hAnsi="Arial" w:cs="Arial"/>
                <w:b/>
                <w:color w:val="FFFFFF"/>
                <w:sz w:val="20"/>
                <w:szCs w:val="20"/>
              </w:rPr>
            </w:pPr>
            <w:r>
              <w:rPr>
                <w:rFonts w:ascii="Arial" w:eastAsia="Arial" w:hAnsi="Arial" w:cs="Arial"/>
                <w:b/>
                <w:color w:val="FFFFFF"/>
                <w:sz w:val="20"/>
                <w:szCs w:val="20"/>
              </w:rPr>
              <w:t>Comunidad Autónoma</w:t>
            </w:r>
          </w:p>
        </w:tc>
        <w:tc>
          <w:tcPr>
            <w:tcW w:w="1231" w:type="dxa"/>
            <w:vMerge w:val="restart"/>
            <w:tcBorders>
              <w:top w:val="single" w:sz="8" w:space="0" w:color="000000"/>
              <w:left w:val="single" w:sz="8" w:space="0" w:color="000000"/>
              <w:bottom w:val="nil"/>
              <w:right w:val="single" w:sz="8" w:space="0" w:color="000000"/>
            </w:tcBorders>
            <w:shd w:val="clear" w:color="auto" w:fill="0070C0"/>
            <w:vAlign w:val="center"/>
          </w:tcPr>
          <w:p w14:paraId="000000DB" w14:textId="77777777" w:rsidR="00270AD8" w:rsidRDefault="007E7E54">
            <w:pPr>
              <w:jc w:val="center"/>
              <w:rPr>
                <w:rFonts w:ascii="Arial" w:eastAsia="Arial" w:hAnsi="Arial" w:cs="Arial"/>
                <w:b/>
                <w:color w:val="FFFFFF"/>
                <w:sz w:val="20"/>
                <w:szCs w:val="20"/>
              </w:rPr>
            </w:pPr>
            <w:r>
              <w:rPr>
                <w:rFonts w:ascii="Arial" w:eastAsia="Arial" w:hAnsi="Arial" w:cs="Arial"/>
                <w:b/>
                <w:color w:val="FFFFFF"/>
                <w:sz w:val="20"/>
                <w:szCs w:val="20"/>
              </w:rPr>
              <w:t>nov-19</w:t>
            </w:r>
          </w:p>
        </w:tc>
        <w:tc>
          <w:tcPr>
            <w:tcW w:w="1231" w:type="dxa"/>
            <w:vMerge w:val="restart"/>
            <w:tcBorders>
              <w:top w:val="single" w:sz="8" w:space="0" w:color="000000"/>
              <w:left w:val="single" w:sz="8" w:space="0" w:color="000000"/>
              <w:bottom w:val="nil"/>
              <w:right w:val="single" w:sz="8" w:space="0" w:color="000000"/>
            </w:tcBorders>
            <w:shd w:val="clear" w:color="auto" w:fill="0070C0"/>
            <w:vAlign w:val="center"/>
          </w:tcPr>
          <w:p w14:paraId="000000DC" w14:textId="77777777" w:rsidR="00270AD8" w:rsidRDefault="007E7E54">
            <w:pPr>
              <w:jc w:val="center"/>
              <w:rPr>
                <w:rFonts w:ascii="Arial" w:eastAsia="Arial" w:hAnsi="Arial" w:cs="Arial"/>
                <w:b/>
                <w:color w:val="FFFFFF"/>
                <w:sz w:val="20"/>
                <w:szCs w:val="20"/>
              </w:rPr>
            </w:pPr>
            <w:r>
              <w:rPr>
                <w:rFonts w:ascii="Arial" w:eastAsia="Arial" w:hAnsi="Arial" w:cs="Arial"/>
                <w:b/>
                <w:color w:val="FFFFFF"/>
                <w:sz w:val="20"/>
                <w:szCs w:val="20"/>
              </w:rPr>
              <w:t>oct-20</w:t>
            </w:r>
          </w:p>
        </w:tc>
        <w:tc>
          <w:tcPr>
            <w:tcW w:w="1231" w:type="dxa"/>
            <w:vMerge w:val="restart"/>
            <w:tcBorders>
              <w:top w:val="single" w:sz="8" w:space="0" w:color="000000"/>
              <w:left w:val="single" w:sz="8" w:space="0" w:color="000000"/>
              <w:bottom w:val="nil"/>
              <w:right w:val="single" w:sz="8" w:space="0" w:color="000000"/>
            </w:tcBorders>
            <w:shd w:val="clear" w:color="auto" w:fill="0070C0"/>
            <w:vAlign w:val="center"/>
          </w:tcPr>
          <w:p w14:paraId="000000DD" w14:textId="77777777" w:rsidR="00270AD8" w:rsidRDefault="007E7E54">
            <w:pPr>
              <w:jc w:val="center"/>
              <w:rPr>
                <w:rFonts w:ascii="Arial" w:eastAsia="Arial" w:hAnsi="Arial" w:cs="Arial"/>
                <w:b/>
                <w:color w:val="FFFFFF"/>
                <w:sz w:val="20"/>
                <w:szCs w:val="20"/>
              </w:rPr>
            </w:pPr>
            <w:r>
              <w:rPr>
                <w:rFonts w:ascii="Arial" w:eastAsia="Arial" w:hAnsi="Arial" w:cs="Arial"/>
                <w:b/>
                <w:color w:val="FFFFFF"/>
                <w:sz w:val="20"/>
                <w:szCs w:val="20"/>
              </w:rPr>
              <w:t>nov-20</w:t>
            </w:r>
          </w:p>
        </w:tc>
        <w:tc>
          <w:tcPr>
            <w:tcW w:w="1235"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000000DE" w14:textId="77777777" w:rsidR="00270AD8" w:rsidRDefault="007E7E54">
            <w:pPr>
              <w:jc w:val="center"/>
              <w:rPr>
                <w:rFonts w:ascii="Arial" w:eastAsia="Arial" w:hAnsi="Arial" w:cs="Arial"/>
                <w:b/>
                <w:color w:val="FFFFFF"/>
                <w:sz w:val="20"/>
                <w:szCs w:val="20"/>
              </w:rPr>
            </w:pPr>
            <w:r>
              <w:rPr>
                <w:rFonts w:ascii="Arial" w:eastAsia="Arial" w:hAnsi="Arial" w:cs="Arial"/>
                <w:b/>
                <w:color w:val="FFFFFF"/>
                <w:sz w:val="20"/>
                <w:szCs w:val="20"/>
              </w:rPr>
              <w:t xml:space="preserve">Diferencia </w:t>
            </w:r>
            <w:proofErr w:type="spellStart"/>
            <w:r>
              <w:rPr>
                <w:rFonts w:ascii="Arial" w:eastAsia="Arial" w:hAnsi="Arial" w:cs="Arial"/>
                <w:b/>
                <w:color w:val="FFFFFF"/>
                <w:sz w:val="20"/>
                <w:szCs w:val="20"/>
              </w:rPr>
              <w:t>MoM</w:t>
            </w:r>
            <w:proofErr w:type="spellEnd"/>
          </w:p>
        </w:tc>
        <w:tc>
          <w:tcPr>
            <w:tcW w:w="1235"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000000DF" w14:textId="77777777" w:rsidR="00270AD8" w:rsidRDefault="007E7E54">
            <w:pPr>
              <w:jc w:val="center"/>
              <w:rPr>
                <w:rFonts w:ascii="Arial" w:eastAsia="Arial" w:hAnsi="Arial" w:cs="Arial"/>
                <w:b/>
                <w:color w:val="FFFFFF"/>
                <w:sz w:val="20"/>
                <w:szCs w:val="20"/>
              </w:rPr>
            </w:pPr>
            <w:r>
              <w:rPr>
                <w:rFonts w:ascii="Arial" w:eastAsia="Arial" w:hAnsi="Arial" w:cs="Arial"/>
                <w:b/>
                <w:color w:val="FFFFFF"/>
                <w:sz w:val="20"/>
                <w:szCs w:val="20"/>
              </w:rPr>
              <w:t xml:space="preserve">Diferencia </w:t>
            </w:r>
            <w:proofErr w:type="spellStart"/>
            <w:r>
              <w:rPr>
                <w:rFonts w:ascii="Arial" w:eastAsia="Arial" w:hAnsi="Arial" w:cs="Arial"/>
                <w:b/>
                <w:color w:val="FFFFFF"/>
                <w:sz w:val="20"/>
                <w:szCs w:val="20"/>
              </w:rPr>
              <w:t>YoY</w:t>
            </w:r>
            <w:proofErr w:type="spellEnd"/>
          </w:p>
        </w:tc>
      </w:tr>
      <w:tr w:rsidR="00270AD8" w14:paraId="104947A5" w14:textId="77777777">
        <w:trPr>
          <w:trHeight w:val="288"/>
        </w:trPr>
        <w:tc>
          <w:tcPr>
            <w:tcW w:w="2681" w:type="dxa"/>
            <w:vMerge/>
            <w:tcBorders>
              <w:top w:val="single" w:sz="8" w:space="0" w:color="000000"/>
              <w:left w:val="single" w:sz="8" w:space="0" w:color="000000"/>
              <w:bottom w:val="nil"/>
              <w:right w:val="single" w:sz="8" w:space="0" w:color="000000"/>
            </w:tcBorders>
            <w:shd w:val="clear" w:color="auto" w:fill="0070C0"/>
            <w:vAlign w:val="center"/>
          </w:tcPr>
          <w:p w14:paraId="000000E0" w14:textId="77777777" w:rsidR="00270AD8" w:rsidRDefault="00270AD8">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1" w:type="dxa"/>
            <w:vMerge/>
            <w:tcBorders>
              <w:top w:val="single" w:sz="8" w:space="0" w:color="000000"/>
              <w:left w:val="single" w:sz="8" w:space="0" w:color="000000"/>
              <w:bottom w:val="nil"/>
              <w:right w:val="single" w:sz="8" w:space="0" w:color="000000"/>
            </w:tcBorders>
            <w:shd w:val="clear" w:color="auto" w:fill="0070C0"/>
            <w:vAlign w:val="center"/>
          </w:tcPr>
          <w:p w14:paraId="000000E1" w14:textId="77777777" w:rsidR="00270AD8" w:rsidRDefault="00270AD8">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1" w:type="dxa"/>
            <w:vMerge/>
            <w:tcBorders>
              <w:top w:val="single" w:sz="8" w:space="0" w:color="000000"/>
              <w:left w:val="single" w:sz="8" w:space="0" w:color="000000"/>
              <w:bottom w:val="nil"/>
              <w:right w:val="single" w:sz="8" w:space="0" w:color="000000"/>
            </w:tcBorders>
            <w:shd w:val="clear" w:color="auto" w:fill="0070C0"/>
            <w:vAlign w:val="center"/>
          </w:tcPr>
          <w:p w14:paraId="000000E2" w14:textId="77777777" w:rsidR="00270AD8" w:rsidRDefault="00270AD8">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1" w:type="dxa"/>
            <w:vMerge/>
            <w:tcBorders>
              <w:top w:val="single" w:sz="8" w:space="0" w:color="000000"/>
              <w:left w:val="single" w:sz="8" w:space="0" w:color="000000"/>
              <w:bottom w:val="nil"/>
              <w:right w:val="single" w:sz="8" w:space="0" w:color="000000"/>
            </w:tcBorders>
            <w:shd w:val="clear" w:color="auto" w:fill="0070C0"/>
            <w:vAlign w:val="center"/>
          </w:tcPr>
          <w:p w14:paraId="000000E3" w14:textId="77777777" w:rsidR="00270AD8" w:rsidRDefault="00270AD8">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5"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000000E4" w14:textId="77777777" w:rsidR="00270AD8" w:rsidRDefault="00270AD8">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5"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000000E5" w14:textId="77777777" w:rsidR="00270AD8" w:rsidRDefault="00270AD8">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6" w:type="dxa"/>
            <w:tcBorders>
              <w:top w:val="nil"/>
              <w:left w:val="nil"/>
              <w:bottom w:val="nil"/>
              <w:right w:val="nil"/>
            </w:tcBorders>
            <w:shd w:val="clear" w:color="auto" w:fill="auto"/>
            <w:vAlign w:val="bottom"/>
          </w:tcPr>
          <w:p w14:paraId="000000E6" w14:textId="77777777" w:rsidR="00270AD8" w:rsidRDefault="00270AD8">
            <w:pPr>
              <w:jc w:val="center"/>
              <w:rPr>
                <w:rFonts w:ascii="Arial" w:eastAsia="Arial" w:hAnsi="Arial" w:cs="Arial"/>
                <w:b/>
                <w:color w:val="FFFFFF"/>
                <w:sz w:val="20"/>
                <w:szCs w:val="20"/>
              </w:rPr>
            </w:pPr>
          </w:p>
        </w:tc>
      </w:tr>
      <w:tr w:rsidR="00270AD8" w14:paraId="664E4467" w14:textId="77777777">
        <w:trPr>
          <w:trHeight w:val="324"/>
        </w:trPr>
        <w:tc>
          <w:tcPr>
            <w:tcW w:w="268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000E7" w14:textId="77777777" w:rsidR="00270AD8" w:rsidRDefault="007E7E54">
            <w:pPr>
              <w:rPr>
                <w:rFonts w:ascii="Calibri" w:eastAsia="Calibri" w:hAnsi="Calibri" w:cs="Calibri"/>
                <w:color w:val="000000"/>
              </w:rPr>
            </w:pPr>
            <w:r>
              <w:rPr>
                <w:rFonts w:ascii="Calibri" w:eastAsia="Calibri" w:hAnsi="Calibri" w:cs="Calibri"/>
                <w:color w:val="000000"/>
              </w:rPr>
              <w:t>Andalucía</w:t>
            </w:r>
          </w:p>
        </w:tc>
        <w:tc>
          <w:tcPr>
            <w:tcW w:w="1231" w:type="dxa"/>
            <w:tcBorders>
              <w:top w:val="single" w:sz="8" w:space="0" w:color="000000"/>
              <w:left w:val="nil"/>
              <w:bottom w:val="single" w:sz="8" w:space="0" w:color="000000"/>
              <w:right w:val="single" w:sz="8" w:space="0" w:color="000000"/>
            </w:tcBorders>
            <w:shd w:val="clear" w:color="auto" w:fill="auto"/>
            <w:vAlign w:val="bottom"/>
          </w:tcPr>
          <w:p w14:paraId="000000E8"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19.987</w:t>
            </w:r>
          </w:p>
        </w:tc>
        <w:tc>
          <w:tcPr>
            <w:tcW w:w="1231" w:type="dxa"/>
            <w:tcBorders>
              <w:top w:val="single" w:sz="8" w:space="0" w:color="000000"/>
              <w:left w:val="nil"/>
              <w:bottom w:val="single" w:sz="8" w:space="0" w:color="000000"/>
              <w:right w:val="single" w:sz="8" w:space="0" w:color="000000"/>
            </w:tcBorders>
            <w:shd w:val="clear" w:color="auto" w:fill="auto"/>
            <w:vAlign w:val="bottom"/>
          </w:tcPr>
          <w:p w14:paraId="000000E9"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15.483</w:t>
            </w:r>
          </w:p>
        </w:tc>
        <w:tc>
          <w:tcPr>
            <w:tcW w:w="1231" w:type="dxa"/>
            <w:tcBorders>
              <w:top w:val="single" w:sz="8" w:space="0" w:color="000000"/>
              <w:left w:val="nil"/>
              <w:bottom w:val="single" w:sz="8" w:space="0" w:color="000000"/>
              <w:right w:val="single" w:sz="8" w:space="0" w:color="000000"/>
            </w:tcBorders>
            <w:shd w:val="clear" w:color="auto" w:fill="auto"/>
            <w:vAlign w:val="bottom"/>
          </w:tcPr>
          <w:p w14:paraId="000000EA"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12.940</w:t>
            </w:r>
          </w:p>
        </w:tc>
        <w:tc>
          <w:tcPr>
            <w:tcW w:w="1235" w:type="dxa"/>
            <w:tcBorders>
              <w:top w:val="nil"/>
              <w:left w:val="nil"/>
              <w:bottom w:val="single" w:sz="8" w:space="0" w:color="000000"/>
              <w:right w:val="single" w:sz="8" w:space="0" w:color="000000"/>
            </w:tcBorders>
            <w:shd w:val="clear" w:color="auto" w:fill="FFFFFF"/>
            <w:vAlign w:val="center"/>
          </w:tcPr>
          <w:p w14:paraId="000000EB"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-16,42%</w:t>
            </w:r>
          </w:p>
        </w:tc>
        <w:tc>
          <w:tcPr>
            <w:tcW w:w="1235" w:type="dxa"/>
            <w:tcBorders>
              <w:top w:val="nil"/>
              <w:left w:val="nil"/>
              <w:bottom w:val="single" w:sz="8" w:space="0" w:color="000000"/>
              <w:right w:val="single" w:sz="8" w:space="0" w:color="000000"/>
            </w:tcBorders>
            <w:shd w:val="clear" w:color="auto" w:fill="FFFFFF"/>
            <w:vAlign w:val="center"/>
          </w:tcPr>
          <w:p w14:paraId="000000EC"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-35,26%</w:t>
            </w:r>
          </w:p>
        </w:tc>
        <w:tc>
          <w:tcPr>
            <w:tcW w:w="146" w:type="dxa"/>
            <w:vAlign w:val="center"/>
          </w:tcPr>
          <w:p w14:paraId="000000ED" w14:textId="77777777" w:rsidR="00270AD8" w:rsidRDefault="00270AD8">
            <w:pPr>
              <w:rPr>
                <w:sz w:val="20"/>
                <w:szCs w:val="20"/>
              </w:rPr>
            </w:pPr>
          </w:p>
        </w:tc>
      </w:tr>
      <w:tr w:rsidR="00270AD8" w14:paraId="63A31DD9"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0EE" w14:textId="77777777" w:rsidR="00270AD8" w:rsidRDefault="007E7E54">
            <w:pPr>
              <w:rPr>
                <w:rFonts w:ascii="Calibri" w:eastAsia="Calibri" w:hAnsi="Calibri" w:cs="Calibri"/>
                <w:color w:val="000000"/>
              </w:rPr>
            </w:pPr>
            <w:r>
              <w:rPr>
                <w:rFonts w:ascii="Calibri" w:eastAsia="Calibri" w:hAnsi="Calibri" w:cs="Calibri"/>
                <w:color w:val="000000"/>
              </w:rPr>
              <w:t>Aragón</w:t>
            </w:r>
          </w:p>
        </w:tc>
        <w:tc>
          <w:tcPr>
            <w:tcW w:w="1231" w:type="dxa"/>
            <w:tcBorders>
              <w:top w:val="nil"/>
              <w:left w:val="nil"/>
              <w:bottom w:val="single" w:sz="8" w:space="0" w:color="000000"/>
              <w:right w:val="single" w:sz="8" w:space="0" w:color="000000"/>
            </w:tcBorders>
            <w:shd w:val="clear" w:color="auto" w:fill="auto"/>
            <w:vAlign w:val="bottom"/>
          </w:tcPr>
          <w:p w14:paraId="000000EF"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4.606</w:t>
            </w:r>
          </w:p>
        </w:tc>
        <w:tc>
          <w:tcPr>
            <w:tcW w:w="1231" w:type="dxa"/>
            <w:tcBorders>
              <w:top w:val="nil"/>
              <w:left w:val="nil"/>
              <w:bottom w:val="single" w:sz="8" w:space="0" w:color="000000"/>
              <w:right w:val="single" w:sz="8" w:space="0" w:color="000000"/>
            </w:tcBorders>
            <w:shd w:val="clear" w:color="auto" w:fill="auto"/>
            <w:vAlign w:val="bottom"/>
          </w:tcPr>
          <w:p w14:paraId="000000F0"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4.136</w:t>
            </w:r>
          </w:p>
        </w:tc>
        <w:tc>
          <w:tcPr>
            <w:tcW w:w="1231" w:type="dxa"/>
            <w:tcBorders>
              <w:top w:val="nil"/>
              <w:left w:val="nil"/>
              <w:bottom w:val="single" w:sz="8" w:space="0" w:color="000000"/>
              <w:right w:val="single" w:sz="8" w:space="0" w:color="000000"/>
            </w:tcBorders>
            <w:shd w:val="clear" w:color="auto" w:fill="auto"/>
            <w:vAlign w:val="bottom"/>
          </w:tcPr>
          <w:p w14:paraId="000000F1"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3.492</w:t>
            </w:r>
          </w:p>
        </w:tc>
        <w:tc>
          <w:tcPr>
            <w:tcW w:w="1235" w:type="dxa"/>
            <w:tcBorders>
              <w:top w:val="nil"/>
              <w:left w:val="nil"/>
              <w:bottom w:val="single" w:sz="8" w:space="0" w:color="000000"/>
              <w:right w:val="single" w:sz="8" w:space="0" w:color="000000"/>
            </w:tcBorders>
            <w:shd w:val="clear" w:color="auto" w:fill="FFFFFF"/>
            <w:vAlign w:val="center"/>
          </w:tcPr>
          <w:p w14:paraId="000000F2"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-15,57%</w:t>
            </w:r>
          </w:p>
        </w:tc>
        <w:tc>
          <w:tcPr>
            <w:tcW w:w="1235" w:type="dxa"/>
            <w:tcBorders>
              <w:top w:val="nil"/>
              <w:left w:val="nil"/>
              <w:bottom w:val="single" w:sz="8" w:space="0" w:color="000000"/>
              <w:right w:val="single" w:sz="8" w:space="0" w:color="000000"/>
            </w:tcBorders>
            <w:shd w:val="clear" w:color="auto" w:fill="FFFFFF"/>
            <w:vAlign w:val="center"/>
          </w:tcPr>
          <w:p w14:paraId="000000F3"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-24,19%</w:t>
            </w:r>
          </w:p>
        </w:tc>
        <w:tc>
          <w:tcPr>
            <w:tcW w:w="146" w:type="dxa"/>
            <w:vAlign w:val="center"/>
          </w:tcPr>
          <w:p w14:paraId="000000F4" w14:textId="77777777" w:rsidR="00270AD8" w:rsidRDefault="00270AD8">
            <w:pPr>
              <w:rPr>
                <w:sz w:val="20"/>
                <w:szCs w:val="20"/>
              </w:rPr>
            </w:pPr>
          </w:p>
        </w:tc>
      </w:tr>
      <w:tr w:rsidR="00270AD8" w14:paraId="03BD0665"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0F5" w14:textId="77777777" w:rsidR="00270AD8" w:rsidRDefault="007E7E54">
            <w:pPr>
              <w:rPr>
                <w:rFonts w:ascii="Calibri" w:eastAsia="Calibri" w:hAnsi="Calibri" w:cs="Calibri"/>
                <w:color w:val="000000"/>
              </w:rPr>
            </w:pPr>
            <w:r>
              <w:rPr>
                <w:rFonts w:ascii="Calibri" w:eastAsia="Calibri" w:hAnsi="Calibri" w:cs="Calibri"/>
                <w:color w:val="000000"/>
              </w:rPr>
              <w:t>Asturias</w:t>
            </w:r>
          </w:p>
        </w:tc>
        <w:tc>
          <w:tcPr>
            <w:tcW w:w="1231" w:type="dxa"/>
            <w:tcBorders>
              <w:top w:val="nil"/>
              <w:left w:val="nil"/>
              <w:bottom w:val="single" w:sz="8" w:space="0" w:color="000000"/>
              <w:right w:val="single" w:sz="8" w:space="0" w:color="000000"/>
            </w:tcBorders>
            <w:shd w:val="clear" w:color="auto" w:fill="auto"/>
            <w:vAlign w:val="bottom"/>
          </w:tcPr>
          <w:p w14:paraId="000000F6"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2.918</w:t>
            </w:r>
          </w:p>
        </w:tc>
        <w:tc>
          <w:tcPr>
            <w:tcW w:w="1231" w:type="dxa"/>
            <w:tcBorders>
              <w:top w:val="nil"/>
              <w:left w:val="nil"/>
              <w:bottom w:val="single" w:sz="8" w:space="0" w:color="000000"/>
              <w:right w:val="single" w:sz="8" w:space="0" w:color="000000"/>
            </w:tcBorders>
            <w:shd w:val="clear" w:color="auto" w:fill="auto"/>
            <w:vAlign w:val="bottom"/>
          </w:tcPr>
          <w:p w14:paraId="000000F7"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2.105</w:t>
            </w:r>
          </w:p>
        </w:tc>
        <w:tc>
          <w:tcPr>
            <w:tcW w:w="1231" w:type="dxa"/>
            <w:tcBorders>
              <w:top w:val="nil"/>
              <w:left w:val="nil"/>
              <w:bottom w:val="single" w:sz="8" w:space="0" w:color="000000"/>
              <w:right w:val="single" w:sz="8" w:space="0" w:color="000000"/>
            </w:tcBorders>
            <w:shd w:val="clear" w:color="auto" w:fill="auto"/>
            <w:vAlign w:val="bottom"/>
          </w:tcPr>
          <w:p w14:paraId="000000F8"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1.837</w:t>
            </w:r>
          </w:p>
        </w:tc>
        <w:tc>
          <w:tcPr>
            <w:tcW w:w="1235" w:type="dxa"/>
            <w:tcBorders>
              <w:top w:val="nil"/>
              <w:left w:val="nil"/>
              <w:bottom w:val="single" w:sz="8" w:space="0" w:color="000000"/>
              <w:right w:val="single" w:sz="8" w:space="0" w:color="000000"/>
            </w:tcBorders>
            <w:shd w:val="clear" w:color="auto" w:fill="FFFFFF"/>
            <w:vAlign w:val="center"/>
          </w:tcPr>
          <w:p w14:paraId="000000F9"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-12,73%</w:t>
            </w:r>
          </w:p>
        </w:tc>
        <w:tc>
          <w:tcPr>
            <w:tcW w:w="1235" w:type="dxa"/>
            <w:tcBorders>
              <w:top w:val="nil"/>
              <w:left w:val="nil"/>
              <w:bottom w:val="single" w:sz="8" w:space="0" w:color="000000"/>
              <w:right w:val="single" w:sz="8" w:space="0" w:color="000000"/>
            </w:tcBorders>
            <w:shd w:val="clear" w:color="auto" w:fill="auto"/>
            <w:vAlign w:val="center"/>
          </w:tcPr>
          <w:p w14:paraId="000000FA"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-37,05%</w:t>
            </w:r>
          </w:p>
        </w:tc>
        <w:tc>
          <w:tcPr>
            <w:tcW w:w="146" w:type="dxa"/>
            <w:vAlign w:val="center"/>
          </w:tcPr>
          <w:p w14:paraId="000000FB" w14:textId="77777777" w:rsidR="00270AD8" w:rsidRDefault="00270AD8">
            <w:pPr>
              <w:rPr>
                <w:sz w:val="20"/>
                <w:szCs w:val="20"/>
              </w:rPr>
            </w:pPr>
          </w:p>
        </w:tc>
      </w:tr>
      <w:tr w:rsidR="00270AD8" w14:paraId="05AB0E23"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0FC" w14:textId="77777777" w:rsidR="00270AD8" w:rsidRDefault="007E7E54">
            <w:pPr>
              <w:rPr>
                <w:rFonts w:ascii="Calibri" w:eastAsia="Calibri" w:hAnsi="Calibri" w:cs="Calibri"/>
                <w:color w:val="000000"/>
              </w:rPr>
            </w:pPr>
            <w:r>
              <w:rPr>
                <w:rFonts w:ascii="Calibri" w:eastAsia="Calibri" w:hAnsi="Calibri" w:cs="Calibri"/>
                <w:color w:val="000000"/>
              </w:rPr>
              <w:t>Canarias</w:t>
            </w:r>
          </w:p>
        </w:tc>
        <w:tc>
          <w:tcPr>
            <w:tcW w:w="1231" w:type="dxa"/>
            <w:tcBorders>
              <w:top w:val="nil"/>
              <w:left w:val="nil"/>
              <w:bottom w:val="single" w:sz="8" w:space="0" w:color="000000"/>
              <w:right w:val="single" w:sz="8" w:space="0" w:color="000000"/>
            </w:tcBorders>
            <w:shd w:val="clear" w:color="auto" w:fill="auto"/>
            <w:vAlign w:val="bottom"/>
          </w:tcPr>
          <w:p w14:paraId="000000FD"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4.336</w:t>
            </w:r>
          </w:p>
        </w:tc>
        <w:tc>
          <w:tcPr>
            <w:tcW w:w="1231" w:type="dxa"/>
            <w:tcBorders>
              <w:top w:val="nil"/>
              <w:left w:val="nil"/>
              <w:bottom w:val="single" w:sz="8" w:space="0" w:color="000000"/>
              <w:right w:val="single" w:sz="8" w:space="0" w:color="000000"/>
            </w:tcBorders>
            <w:shd w:val="clear" w:color="auto" w:fill="auto"/>
            <w:vAlign w:val="bottom"/>
          </w:tcPr>
          <w:p w14:paraId="000000FE"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2.709</w:t>
            </w:r>
          </w:p>
        </w:tc>
        <w:tc>
          <w:tcPr>
            <w:tcW w:w="1231" w:type="dxa"/>
            <w:tcBorders>
              <w:top w:val="nil"/>
              <w:left w:val="nil"/>
              <w:bottom w:val="single" w:sz="8" w:space="0" w:color="000000"/>
              <w:right w:val="single" w:sz="8" w:space="0" w:color="000000"/>
            </w:tcBorders>
            <w:shd w:val="clear" w:color="auto" w:fill="auto"/>
            <w:vAlign w:val="bottom"/>
          </w:tcPr>
          <w:p w14:paraId="000000FF"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2.776</w:t>
            </w:r>
          </w:p>
        </w:tc>
        <w:tc>
          <w:tcPr>
            <w:tcW w:w="1235" w:type="dxa"/>
            <w:tcBorders>
              <w:top w:val="nil"/>
              <w:left w:val="nil"/>
              <w:bottom w:val="single" w:sz="8" w:space="0" w:color="000000"/>
              <w:right w:val="single" w:sz="8" w:space="0" w:color="000000"/>
            </w:tcBorders>
            <w:shd w:val="clear" w:color="auto" w:fill="FFFFFF"/>
            <w:vAlign w:val="center"/>
          </w:tcPr>
          <w:p w14:paraId="00000100" w14:textId="77777777" w:rsidR="00270AD8" w:rsidRDefault="007E7E54">
            <w:pPr>
              <w:jc w:val="center"/>
              <w:rPr>
                <w:rFonts w:ascii="Calibri" w:eastAsia="Calibri" w:hAnsi="Calibri" w:cs="Calibri"/>
                <w:sz w:val="22"/>
                <w:szCs w:val="22"/>
              </w:rPr>
            </w:pPr>
            <w:r>
              <w:rPr>
                <w:rFonts w:ascii="Calibri" w:eastAsia="Calibri" w:hAnsi="Calibri" w:cs="Calibri"/>
                <w:sz w:val="22"/>
                <w:szCs w:val="22"/>
              </w:rPr>
              <w:t>2,47%</w:t>
            </w:r>
          </w:p>
        </w:tc>
        <w:tc>
          <w:tcPr>
            <w:tcW w:w="1235" w:type="dxa"/>
            <w:tcBorders>
              <w:top w:val="nil"/>
              <w:left w:val="nil"/>
              <w:bottom w:val="single" w:sz="8" w:space="0" w:color="000000"/>
              <w:right w:val="single" w:sz="8" w:space="0" w:color="000000"/>
            </w:tcBorders>
            <w:shd w:val="clear" w:color="auto" w:fill="auto"/>
            <w:vAlign w:val="center"/>
          </w:tcPr>
          <w:p w14:paraId="00000101"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-35,98%</w:t>
            </w:r>
          </w:p>
        </w:tc>
        <w:tc>
          <w:tcPr>
            <w:tcW w:w="146" w:type="dxa"/>
            <w:vAlign w:val="center"/>
          </w:tcPr>
          <w:p w14:paraId="00000102" w14:textId="77777777" w:rsidR="00270AD8" w:rsidRDefault="00270AD8">
            <w:pPr>
              <w:rPr>
                <w:sz w:val="20"/>
                <w:szCs w:val="20"/>
              </w:rPr>
            </w:pPr>
          </w:p>
        </w:tc>
      </w:tr>
      <w:tr w:rsidR="00270AD8" w14:paraId="0E4A0619" w14:textId="77777777">
        <w:trPr>
          <w:trHeight w:val="288"/>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03" w14:textId="77777777" w:rsidR="00270AD8" w:rsidRDefault="007E7E54">
            <w:pPr>
              <w:rPr>
                <w:rFonts w:ascii="Calibri" w:eastAsia="Calibri" w:hAnsi="Calibri" w:cs="Calibri"/>
                <w:color w:val="000000"/>
              </w:rPr>
            </w:pPr>
            <w:r>
              <w:rPr>
                <w:rFonts w:ascii="Calibri" w:eastAsia="Calibri" w:hAnsi="Calibri" w:cs="Calibri"/>
                <w:color w:val="000000"/>
              </w:rPr>
              <w:t>Cantabria</w:t>
            </w:r>
          </w:p>
        </w:tc>
        <w:tc>
          <w:tcPr>
            <w:tcW w:w="1231" w:type="dxa"/>
            <w:tcBorders>
              <w:top w:val="nil"/>
              <w:left w:val="nil"/>
              <w:bottom w:val="single" w:sz="8" w:space="0" w:color="000000"/>
              <w:right w:val="single" w:sz="8" w:space="0" w:color="000000"/>
            </w:tcBorders>
            <w:shd w:val="clear" w:color="auto" w:fill="auto"/>
            <w:vAlign w:val="bottom"/>
          </w:tcPr>
          <w:p w14:paraId="00000104"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1.812</w:t>
            </w:r>
          </w:p>
        </w:tc>
        <w:tc>
          <w:tcPr>
            <w:tcW w:w="1231" w:type="dxa"/>
            <w:tcBorders>
              <w:top w:val="nil"/>
              <w:left w:val="nil"/>
              <w:bottom w:val="single" w:sz="8" w:space="0" w:color="000000"/>
              <w:right w:val="single" w:sz="8" w:space="0" w:color="000000"/>
            </w:tcBorders>
            <w:shd w:val="clear" w:color="auto" w:fill="auto"/>
            <w:vAlign w:val="bottom"/>
          </w:tcPr>
          <w:p w14:paraId="00000105"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1.681</w:t>
            </w:r>
          </w:p>
        </w:tc>
        <w:tc>
          <w:tcPr>
            <w:tcW w:w="1231" w:type="dxa"/>
            <w:tcBorders>
              <w:top w:val="nil"/>
              <w:left w:val="nil"/>
              <w:bottom w:val="single" w:sz="8" w:space="0" w:color="000000"/>
              <w:right w:val="single" w:sz="8" w:space="0" w:color="000000"/>
            </w:tcBorders>
            <w:shd w:val="clear" w:color="auto" w:fill="auto"/>
            <w:vAlign w:val="bottom"/>
          </w:tcPr>
          <w:p w14:paraId="00000106"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1.400</w:t>
            </w:r>
          </w:p>
        </w:tc>
        <w:tc>
          <w:tcPr>
            <w:tcW w:w="1235" w:type="dxa"/>
            <w:tcBorders>
              <w:top w:val="nil"/>
              <w:left w:val="nil"/>
              <w:bottom w:val="single" w:sz="8" w:space="0" w:color="000000"/>
              <w:right w:val="single" w:sz="8" w:space="0" w:color="000000"/>
            </w:tcBorders>
            <w:shd w:val="clear" w:color="auto" w:fill="FFFFFF"/>
            <w:vAlign w:val="center"/>
          </w:tcPr>
          <w:p w14:paraId="00000107"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-16,72%</w:t>
            </w:r>
          </w:p>
        </w:tc>
        <w:tc>
          <w:tcPr>
            <w:tcW w:w="1235" w:type="dxa"/>
            <w:tcBorders>
              <w:top w:val="nil"/>
              <w:left w:val="nil"/>
              <w:bottom w:val="single" w:sz="8" w:space="0" w:color="000000"/>
              <w:right w:val="single" w:sz="8" w:space="0" w:color="000000"/>
            </w:tcBorders>
            <w:shd w:val="clear" w:color="auto" w:fill="auto"/>
            <w:vAlign w:val="center"/>
          </w:tcPr>
          <w:p w14:paraId="00000108"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-22,74%</w:t>
            </w:r>
          </w:p>
        </w:tc>
        <w:tc>
          <w:tcPr>
            <w:tcW w:w="146" w:type="dxa"/>
            <w:vAlign w:val="center"/>
          </w:tcPr>
          <w:p w14:paraId="00000109" w14:textId="77777777" w:rsidR="00270AD8" w:rsidRDefault="00270AD8">
            <w:pPr>
              <w:rPr>
                <w:sz w:val="20"/>
                <w:szCs w:val="20"/>
              </w:rPr>
            </w:pPr>
          </w:p>
        </w:tc>
      </w:tr>
      <w:tr w:rsidR="00270AD8" w14:paraId="48D89518"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0A" w14:textId="77777777" w:rsidR="00270AD8" w:rsidRDefault="007E7E54">
            <w:pPr>
              <w:rPr>
                <w:rFonts w:ascii="Calibri" w:eastAsia="Calibri" w:hAnsi="Calibri" w:cs="Calibri"/>
                <w:color w:val="000000"/>
              </w:rPr>
            </w:pPr>
            <w:r>
              <w:rPr>
                <w:rFonts w:ascii="Calibri" w:eastAsia="Calibri" w:hAnsi="Calibri" w:cs="Calibri"/>
                <w:color w:val="000000"/>
              </w:rPr>
              <w:t>Castilla - La Mancha</w:t>
            </w:r>
          </w:p>
        </w:tc>
        <w:tc>
          <w:tcPr>
            <w:tcW w:w="1231" w:type="dxa"/>
            <w:tcBorders>
              <w:top w:val="nil"/>
              <w:left w:val="nil"/>
              <w:bottom w:val="single" w:sz="8" w:space="0" w:color="000000"/>
              <w:right w:val="single" w:sz="8" w:space="0" w:color="000000"/>
            </w:tcBorders>
            <w:shd w:val="clear" w:color="auto" w:fill="auto"/>
            <w:vAlign w:val="bottom"/>
          </w:tcPr>
          <w:p w14:paraId="0000010B"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5.486</w:t>
            </w:r>
          </w:p>
        </w:tc>
        <w:tc>
          <w:tcPr>
            <w:tcW w:w="1231" w:type="dxa"/>
            <w:tcBorders>
              <w:top w:val="nil"/>
              <w:left w:val="nil"/>
              <w:bottom w:val="single" w:sz="8" w:space="0" w:color="000000"/>
              <w:right w:val="single" w:sz="8" w:space="0" w:color="000000"/>
            </w:tcBorders>
            <w:shd w:val="clear" w:color="auto" w:fill="auto"/>
            <w:vAlign w:val="bottom"/>
          </w:tcPr>
          <w:p w14:paraId="0000010C"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7.664</w:t>
            </w:r>
          </w:p>
        </w:tc>
        <w:tc>
          <w:tcPr>
            <w:tcW w:w="1231" w:type="dxa"/>
            <w:tcBorders>
              <w:top w:val="nil"/>
              <w:left w:val="nil"/>
              <w:bottom w:val="nil"/>
              <w:right w:val="single" w:sz="8" w:space="0" w:color="000000"/>
            </w:tcBorders>
            <w:shd w:val="clear" w:color="auto" w:fill="auto"/>
            <w:vAlign w:val="bottom"/>
          </w:tcPr>
          <w:p w14:paraId="0000010D"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6.590</w:t>
            </w:r>
          </w:p>
        </w:tc>
        <w:tc>
          <w:tcPr>
            <w:tcW w:w="1235" w:type="dxa"/>
            <w:tcBorders>
              <w:top w:val="nil"/>
              <w:left w:val="nil"/>
              <w:bottom w:val="single" w:sz="8" w:space="0" w:color="000000"/>
              <w:right w:val="single" w:sz="8" w:space="0" w:color="000000"/>
            </w:tcBorders>
            <w:shd w:val="clear" w:color="auto" w:fill="FFFFFF"/>
            <w:vAlign w:val="center"/>
          </w:tcPr>
          <w:p w14:paraId="0000010E"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-14,01%</w:t>
            </w:r>
          </w:p>
        </w:tc>
        <w:tc>
          <w:tcPr>
            <w:tcW w:w="1235" w:type="dxa"/>
            <w:tcBorders>
              <w:top w:val="nil"/>
              <w:left w:val="nil"/>
              <w:bottom w:val="single" w:sz="8" w:space="0" w:color="000000"/>
              <w:right w:val="single" w:sz="8" w:space="0" w:color="000000"/>
            </w:tcBorders>
            <w:shd w:val="clear" w:color="auto" w:fill="auto"/>
            <w:vAlign w:val="center"/>
          </w:tcPr>
          <w:p w14:paraId="0000010F" w14:textId="77777777" w:rsidR="00270AD8" w:rsidRDefault="007E7E54">
            <w:pPr>
              <w:jc w:val="center"/>
              <w:rPr>
                <w:rFonts w:ascii="Calibri" w:eastAsia="Calibri" w:hAnsi="Calibri" w:cs="Calibri"/>
                <w:sz w:val="22"/>
                <w:szCs w:val="22"/>
              </w:rPr>
            </w:pPr>
            <w:r>
              <w:rPr>
                <w:rFonts w:ascii="Calibri" w:eastAsia="Calibri" w:hAnsi="Calibri" w:cs="Calibri"/>
                <w:sz w:val="22"/>
                <w:szCs w:val="22"/>
              </w:rPr>
              <w:t>20,12%</w:t>
            </w:r>
          </w:p>
        </w:tc>
        <w:tc>
          <w:tcPr>
            <w:tcW w:w="146" w:type="dxa"/>
            <w:vAlign w:val="center"/>
          </w:tcPr>
          <w:p w14:paraId="00000110" w14:textId="77777777" w:rsidR="00270AD8" w:rsidRDefault="00270AD8">
            <w:pPr>
              <w:rPr>
                <w:sz w:val="20"/>
                <w:szCs w:val="20"/>
              </w:rPr>
            </w:pPr>
          </w:p>
        </w:tc>
      </w:tr>
      <w:tr w:rsidR="00270AD8" w14:paraId="37DC9369"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11" w14:textId="77777777" w:rsidR="00270AD8" w:rsidRDefault="007E7E54">
            <w:pPr>
              <w:rPr>
                <w:rFonts w:ascii="Calibri" w:eastAsia="Calibri" w:hAnsi="Calibri" w:cs="Calibri"/>
                <w:color w:val="000000"/>
              </w:rPr>
            </w:pPr>
            <w:r>
              <w:rPr>
                <w:rFonts w:ascii="Calibri" w:eastAsia="Calibri" w:hAnsi="Calibri" w:cs="Calibri"/>
                <w:color w:val="000000"/>
              </w:rPr>
              <w:t>Castilla y León</w:t>
            </w:r>
          </w:p>
        </w:tc>
        <w:tc>
          <w:tcPr>
            <w:tcW w:w="1231" w:type="dxa"/>
            <w:tcBorders>
              <w:top w:val="nil"/>
              <w:left w:val="nil"/>
              <w:bottom w:val="single" w:sz="8" w:space="0" w:color="000000"/>
              <w:right w:val="single" w:sz="8" w:space="0" w:color="000000"/>
            </w:tcBorders>
            <w:shd w:val="clear" w:color="auto" w:fill="auto"/>
            <w:vAlign w:val="bottom"/>
          </w:tcPr>
          <w:p w14:paraId="00000112"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8.662</w:t>
            </w:r>
          </w:p>
        </w:tc>
        <w:tc>
          <w:tcPr>
            <w:tcW w:w="1231" w:type="dxa"/>
            <w:tcBorders>
              <w:top w:val="nil"/>
              <w:left w:val="nil"/>
              <w:bottom w:val="single" w:sz="8" w:space="0" w:color="000000"/>
              <w:right w:val="single" w:sz="8" w:space="0" w:color="000000"/>
            </w:tcBorders>
            <w:shd w:val="clear" w:color="auto" w:fill="auto"/>
            <w:vAlign w:val="bottom"/>
          </w:tcPr>
          <w:p w14:paraId="00000113"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7.676</w:t>
            </w:r>
          </w:p>
        </w:tc>
        <w:tc>
          <w:tcPr>
            <w:tcW w:w="1231" w:type="dxa"/>
            <w:tcBorders>
              <w:top w:val="single" w:sz="8" w:space="0" w:color="000000"/>
              <w:left w:val="nil"/>
              <w:bottom w:val="single" w:sz="8" w:space="0" w:color="000000"/>
              <w:right w:val="single" w:sz="8" w:space="0" w:color="000000"/>
            </w:tcBorders>
            <w:shd w:val="clear" w:color="auto" w:fill="auto"/>
            <w:vAlign w:val="bottom"/>
          </w:tcPr>
          <w:p w14:paraId="00000114"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6.582</w:t>
            </w:r>
          </w:p>
        </w:tc>
        <w:tc>
          <w:tcPr>
            <w:tcW w:w="1235" w:type="dxa"/>
            <w:tcBorders>
              <w:top w:val="nil"/>
              <w:left w:val="nil"/>
              <w:bottom w:val="single" w:sz="8" w:space="0" w:color="000000"/>
              <w:right w:val="single" w:sz="8" w:space="0" w:color="000000"/>
            </w:tcBorders>
            <w:shd w:val="clear" w:color="auto" w:fill="FFFFFF"/>
            <w:vAlign w:val="center"/>
          </w:tcPr>
          <w:p w14:paraId="00000115"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-14,25%</w:t>
            </w:r>
          </w:p>
        </w:tc>
        <w:tc>
          <w:tcPr>
            <w:tcW w:w="1235" w:type="dxa"/>
            <w:tcBorders>
              <w:top w:val="nil"/>
              <w:left w:val="nil"/>
              <w:bottom w:val="single" w:sz="8" w:space="0" w:color="000000"/>
              <w:right w:val="single" w:sz="8" w:space="0" w:color="000000"/>
            </w:tcBorders>
            <w:shd w:val="clear" w:color="auto" w:fill="auto"/>
            <w:vAlign w:val="center"/>
          </w:tcPr>
          <w:p w14:paraId="00000116"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-24,01%</w:t>
            </w:r>
          </w:p>
        </w:tc>
        <w:tc>
          <w:tcPr>
            <w:tcW w:w="146" w:type="dxa"/>
            <w:vAlign w:val="center"/>
          </w:tcPr>
          <w:p w14:paraId="00000117" w14:textId="77777777" w:rsidR="00270AD8" w:rsidRDefault="00270AD8">
            <w:pPr>
              <w:rPr>
                <w:sz w:val="20"/>
                <w:szCs w:val="20"/>
              </w:rPr>
            </w:pPr>
          </w:p>
        </w:tc>
      </w:tr>
      <w:tr w:rsidR="00270AD8" w14:paraId="240FE6E2"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18" w14:textId="77777777" w:rsidR="00270AD8" w:rsidRDefault="007E7E54">
            <w:pPr>
              <w:rPr>
                <w:rFonts w:ascii="Calibri" w:eastAsia="Calibri" w:hAnsi="Calibri" w:cs="Calibri"/>
                <w:color w:val="000000"/>
              </w:rPr>
            </w:pPr>
            <w:r>
              <w:rPr>
                <w:rFonts w:ascii="Calibri" w:eastAsia="Calibri" w:hAnsi="Calibri" w:cs="Calibri"/>
                <w:color w:val="000000"/>
              </w:rPr>
              <w:t>Cataluña</w:t>
            </w:r>
          </w:p>
        </w:tc>
        <w:tc>
          <w:tcPr>
            <w:tcW w:w="1231" w:type="dxa"/>
            <w:tcBorders>
              <w:top w:val="nil"/>
              <w:left w:val="nil"/>
              <w:bottom w:val="single" w:sz="8" w:space="0" w:color="000000"/>
              <w:right w:val="single" w:sz="8" w:space="0" w:color="000000"/>
            </w:tcBorders>
            <w:shd w:val="clear" w:color="auto" w:fill="auto"/>
            <w:vAlign w:val="bottom"/>
          </w:tcPr>
          <w:p w14:paraId="00000119"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62.200</w:t>
            </w:r>
          </w:p>
        </w:tc>
        <w:tc>
          <w:tcPr>
            <w:tcW w:w="1231" w:type="dxa"/>
            <w:tcBorders>
              <w:top w:val="nil"/>
              <w:left w:val="nil"/>
              <w:bottom w:val="single" w:sz="8" w:space="0" w:color="000000"/>
              <w:right w:val="single" w:sz="8" w:space="0" w:color="000000"/>
            </w:tcBorders>
            <w:shd w:val="clear" w:color="auto" w:fill="auto"/>
            <w:vAlign w:val="bottom"/>
          </w:tcPr>
          <w:p w14:paraId="0000011A"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33.150</w:t>
            </w:r>
          </w:p>
        </w:tc>
        <w:tc>
          <w:tcPr>
            <w:tcW w:w="1231" w:type="dxa"/>
            <w:tcBorders>
              <w:top w:val="nil"/>
              <w:left w:val="nil"/>
              <w:bottom w:val="single" w:sz="8" w:space="0" w:color="000000"/>
              <w:right w:val="single" w:sz="8" w:space="0" w:color="000000"/>
            </w:tcBorders>
            <w:shd w:val="clear" w:color="auto" w:fill="auto"/>
            <w:vAlign w:val="bottom"/>
          </w:tcPr>
          <w:p w14:paraId="0000011B"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28.054</w:t>
            </w:r>
          </w:p>
        </w:tc>
        <w:tc>
          <w:tcPr>
            <w:tcW w:w="1235" w:type="dxa"/>
            <w:tcBorders>
              <w:top w:val="nil"/>
              <w:left w:val="nil"/>
              <w:bottom w:val="single" w:sz="8" w:space="0" w:color="000000"/>
              <w:right w:val="single" w:sz="8" w:space="0" w:color="000000"/>
            </w:tcBorders>
            <w:shd w:val="clear" w:color="auto" w:fill="FFFFFF"/>
            <w:vAlign w:val="center"/>
          </w:tcPr>
          <w:p w14:paraId="0000011C"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-15,37%</w:t>
            </w:r>
          </w:p>
        </w:tc>
        <w:tc>
          <w:tcPr>
            <w:tcW w:w="1235" w:type="dxa"/>
            <w:tcBorders>
              <w:top w:val="nil"/>
              <w:left w:val="nil"/>
              <w:bottom w:val="single" w:sz="8" w:space="0" w:color="000000"/>
              <w:right w:val="single" w:sz="8" w:space="0" w:color="000000"/>
            </w:tcBorders>
            <w:shd w:val="clear" w:color="auto" w:fill="auto"/>
            <w:vAlign w:val="center"/>
          </w:tcPr>
          <w:p w14:paraId="0000011D"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-54,90%</w:t>
            </w:r>
          </w:p>
        </w:tc>
        <w:tc>
          <w:tcPr>
            <w:tcW w:w="146" w:type="dxa"/>
            <w:vAlign w:val="center"/>
          </w:tcPr>
          <w:p w14:paraId="0000011E" w14:textId="77777777" w:rsidR="00270AD8" w:rsidRDefault="00270AD8">
            <w:pPr>
              <w:rPr>
                <w:sz w:val="20"/>
                <w:szCs w:val="20"/>
              </w:rPr>
            </w:pPr>
          </w:p>
        </w:tc>
      </w:tr>
      <w:tr w:rsidR="00270AD8" w14:paraId="1119275F"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1F" w14:textId="77777777" w:rsidR="00270AD8" w:rsidRDefault="007E7E54">
            <w:pPr>
              <w:rPr>
                <w:rFonts w:ascii="Calibri" w:eastAsia="Calibri" w:hAnsi="Calibri" w:cs="Calibri"/>
                <w:color w:val="000000"/>
              </w:rPr>
            </w:pPr>
            <w:r>
              <w:rPr>
                <w:rFonts w:ascii="Calibri" w:eastAsia="Calibri" w:hAnsi="Calibri" w:cs="Calibri"/>
                <w:color w:val="000000"/>
              </w:rPr>
              <w:t>Comunidad Valenciana</w:t>
            </w:r>
          </w:p>
        </w:tc>
        <w:tc>
          <w:tcPr>
            <w:tcW w:w="1231" w:type="dxa"/>
            <w:tcBorders>
              <w:top w:val="nil"/>
              <w:left w:val="nil"/>
              <w:bottom w:val="single" w:sz="8" w:space="0" w:color="000000"/>
              <w:right w:val="single" w:sz="8" w:space="0" w:color="000000"/>
            </w:tcBorders>
            <w:shd w:val="clear" w:color="auto" w:fill="auto"/>
            <w:vAlign w:val="bottom"/>
          </w:tcPr>
          <w:p w14:paraId="00000120"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13.996</w:t>
            </w:r>
          </w:p>
        </w:tc>
        <w:tc>
          <w:tcPr>
            <w:tcW w:w="1231" w:type="dxa"/>
            <w:tcBorders>
              <w:top w:val="nil"/>
              <w:left w:val="nil"/>
              <w:bottom w:val="single" w:sz="8" w:space="0" w:color="000000"/>
              <w:right w:val="single" w:sz="8" w:space="0" w:color="000000"/>
            </w:tcBorders>
            <w:shd w:val="clear" w:color="auto" w:fill="auto"/>
            <w:vAlign w:val="bottom"/>
          </w:tcPr>
          <w:p w14:paraId="00000121"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14.334</w:t>
            </w:r>
          </w:p>
        </w:tc>
        <w:tc>
          <w:tcPr>
            <w:tcW w:w="1231" w:type="dxa"/>
            <w:tcBorders>
              <w:top w:val="nil"/>
              <w:left w:val="nil"/>
              <w:bottom w:val="single" w:sz="8" w:space="0" w:color="000000"/>
              <w:right w:val="single" w:sz="8" w:space="0" w:color="000000"/>
            </w:tcBorders>
            <w:shd w:val="clear" w:color="auto" w:fill="auto"/>
            <w:vAlign w:val="bottom"/>
          </w:tcPr>
          <w:p w14:paraId="00000122"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13.455</w:t>
            </w:r>
          </w:p>
        </w:tc>
        <w:tc>
          <w:tcPr>
            <w:tcW w:w="1235" w:type="dxa"/>
            <w:tcBorders>
              <w:top w:val="nil"/>
              <w:left w:val="nil"/>
              <w:bottom w:val="single" w:sz="8" w:space="0" w:color="000000"/>
              <w:right w:val="single" w:sz="8" w:space="0" w:color="000000"/>
            </w:tcBorders>
            <w:shd w:val="clear" w:color="auto" w:fill="FFFFFF"/>
            <w:vAlign w:val="center"/>
          </w:tcPr>
          <w:p w14:paraId="00000123"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-6,13%</w:t>
            </w:r>
          </w:p>
        </w:tc>
        <w:tc>
          <w:tcPr>
            <w:tcW w:w="1235" w:type="dxa"/>
            <w:tcBorders>
              <w:top w:val="nil"/>
              <w:left w:val="nil"/>
              <w:bottom w:val="single" w:sz="8" w:space="0" w:color="000000"/>
              <w:right w:val="single" w:sz="8" w:space="0" w:color="000000"/>
            </w:tcBorders>
            <w:shd w:val="clear" w:color="auto" w:fill="auto"/>
            <w:vAlign w:val="center"/>
          </w:tcPr>
          <w:p w14:paraId="00000124"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-3,87%</w:t>
            </w:r>
          </w:p>
        </w:tc>
        <w:tc>
          <w:tcPr>
            <w:tcW w:w="146" w:type="dxa"/>
            <w:vAlign w:val="center"/>
          </w:tcPr>
          <w:p w14:paraId="00000125" w14:textId="77777777" w:rsidR="00270AD8" w:rsidRDefault="00270AD8">
            <w:pPr>
              <w:rPr>
                <w:sz w:val="20"/>
                <w:szCs w:val="20"/>
              </w:rPr>
            </w:pPr>
          </w:p>
        </w:tc>
      </w:tr>
      <w:tr w:rsidR="00270AD8" w14:paraId="0D0834FE"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26" w14:textId="77777777" w:rsidR="00270AD8" w:rsidRDefault="007E7E54">
            <w:pPr>
              <w:rPr>
                <w:rFonts w:ascii="Calibri" w:eastAsia="Calibri" w:hAnsi="Calibri" w:cs="Calibri"/>
                <w:color w:val="000000"/>
              </w:rPr>
            </w:pPr>
            <w:r>
              <w:rPr>
                <w:rFonts w:ascii="Calibri" w:eastAsia="Calibri" w:hAnsi="Calibri" w:cs="Calibri"/>
                <w:color w:val="000000"/>
              </w:rPr>
              <w:t>Extremadura</w:t>
            </w:r>
          </w:p>
        </w:tc>
        <w:tc>
          <w:tcPr>
            <w:tcW w:w="1231" w:type="dxa"/>
            <w:tcBorders>
              <w:top w:val="nil"/>
              <w:left w:val="nil"/>
              <w:bottom w:val="single" w:sz="8" w:space="0" w:color="000000"/>
              <w:right w:val="single" w:sz="8" w:space="0" w:color="000000"/>
            </w:tcBorders>
            <w:shd w:val="clear" w:color="auto" w:fill="auto"/>
            <w:vAlign w:val="bottom"/>
          </w:tcPr>
          <w:p w14:paraId="00000127"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1.950</w:t>
            </w:r>
          </w:p>
        </w:tc>
        <w:tc>
          <w:tcPr>
            <w:tcW w:w="1231" w:type="dxa"/>
            <w:tcBorders>
              <w:top w:val="nil"/>
              <w:left w:val="nil"/>
              <w:bottom w:val="single" w:sz="8" w:space="0" w:color="000000"/>
              <w:right w:val="single" w:sz="8" w:space="0" w:color="000000"/>
            </w:tcBorders>
            <w:shd w:val="clear" w:color="auto" w:fill="auto"/>
            <w:vAlign w:val="bottom"/>
          </w:tcPr>
          <w:p w14:paraId="00000128"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1.979</w:t>
            </w:r>
          </w:p>
        </w:tc>
        <w:tc>
          <w:tcPr>
            <w:tcW w:w="1231" w:type="dxa"/>
            <w:tcBorders>
              <w:top w:val="nil"/>
              <w:left w:val="nil"/>
              <w:bottom w:val="single" w:sz="8" w:space="0" w:color="000000"/>
              <w:right w:val="single" w:sz="8" w:space="0" w:color="000000"/>
            </w:tcBorders>
            <w:shd w:val="clear" w:color="auto" w:fill="auto"/>
            <w:vAlign w:val="bottom"/>
          </w:tcPr>
          <w:p w14:paraId="00000129"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2.131</w:t>
            </w:r>
          </w:p>
        </w:tc>
        <w:tc>
          <w:tcPr>
            <w:tcW w:w="1235" w:type="dxa"/>
            <w:tcBorders>
              <w:top w:val="nil"/>
              <w:left w:val="nil"/>
              <w:bottom w:val="single" w:sz="8" w:space="0" w:color="000000"/>
              <w:right w:val="single" w:sz="8" w:space="0" w:color="000000"/>
            </w:tcBorders>
            <w:shd w:val="clear" w:color="auto" w:fill="FFFFFF"/>
            <w:vAlign w:val="center"/>
          </w:tcPr>
          <w:p w14:paraId="0000012A" w14:textId="77777777" w:rsidR="00270AD8" w:rsidRDefault="007E7E54">
            <w:pPr>
              <w:jc w:val="center"/>
              <w:rPr>
                <w:rFonts w:ascii="Calibri" w:eastAsia="Calibri" w:hAnsi="Calibri" w:cs="Calibri"/>
                <w:sz w:val="22"/>
                <w:szCs w:val="22"/>
              </w:rPr>
            </w:pPr>
            <w:r>
              <w:rPr>
                <w:rFonts w:ascii="Calibri" w:eastAsia="Calibri" w:hAnsi="Calibri" w:cs="Calibri"/>
                <w:sz w:val="22"/>
                <w:szCs w:val="22"/>
              </w:rPr>
              <w:t>7,68%</w:t>
            </w:r>
          </w:p>
        </w:tc>
        <w:tc>
          <w:tcPr>
            <w:tcW w:w="1235" w:type="dxa"/>
            <w:tcBorders>
              <w:top w:val="nil"/>
              <w:left w:val="nil"/>
              <w:bottom w:val="single" w:sz="8" w:space="0" w:color="000000"/>
              <w:right w:val="single" w:sz="8" w:space="0" w:color="000000"/>
            </w:tcBorders>
            <w:shd w:val="clear" w:color="auto" w:fill="auto"/>
            <w:vAlign w:val="center"/>
          </w:tcPr>
          <w:p w14:paraId="0000012B" w14:textId="77777777" w:rsidR="00270AD8" w:rsidRDefault="007E7E54">
            <w:pPr>
              <w:jc w:val="center"/>
              <w:rPr>
                <w:rFonts w:ascii="Calibri" w:eastAsia="Calibri" w:hAnsi="Calibri" w:cs="Calibri"/>
                <w:sz w:val="22"/>
                <w:szCs w:val="22"/>
              </w:rPr>
            </w:pPr>
            <w:r>
              <w:rPr>
                <w:rFonts w:ascii="Calibri" w:eastAsia="Calibri" w:hAnsi="Calibri" w:cs="Calibri"/>
                <w:sz w:val="22"/>
                <w:szCs w:val="22"/>
              </w:rPr>
              <w:t>9,28%</w:t>
            </w:r>
          </w:p>
        </w:tc>
        <w:tc>
          <w:tcPr>
            <w:tcW w:w="146" w:type="dxa"/>
            <w:vAlign w:val="center"/>
          </w:tcPr>
          <w:p w14:paraId="0000012C" w14:textId="77777777" w:rsidR="00270AD8" w:rsidRDefault="00270AD8">
            <w:pPr>
              <w:rPr>
                <w:sz w:val="20"/>
                <w:szCs w:val="20"/>
              </w:rPr>
            </w:pPr>
          </w:p>
        </w:tc>
      </w:tr>
      <w:tr w:rsidR="00270AD8" w14:paraId="0EE5A0B6"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2D" w14:textId="77777777" w:rsidR="00270AD8" w:rsidRDefault="007E7E54">
            <w:pPr>
              <w:rPr>
                <w:rFonts w:ascii="Calibri" w:eastAsia="Calibri" w:hAnsi="Calibri" w:cs="Calibri"/>
                <w:color w:val="000000"/>
              </w:rPr>
            </w:pPr>
            <w:r>
              <w:rPr>
                <w:rFonts w:ascii="Calibri" w:eastAsia="Calibri" w:hAnsi="Calibri" w:cs="Calibri"/>
                <w:color w:val="000000"/>
              </w:rPr>
              <w:t>Galicia</w:t>
            </w:r>
          </w:p>
        </w:tc>
        <w:tc>
          <w:tcPr>
            <w:tcW w:w="1231" w:type="dxa"/>
            <w:tcBorders>
              <w:top w:val="nil"/>
              <w:left w:val="nil"/>
              <w:bottom w:val="single" w:sz="8" w:space="0" w:color="000000"/>
              <w:right w:val="single" w:sz="8" w:space="0" w:color="000000"/>
            </w:tcBorders>
            <w:shd w:val="clear" w:color="auto" w:fill="auto"/>
            <w:vAlign w:val="bottom"/>
          </w:tcPr>
          <w:p w14:paraId="0000012E"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8.962</w:t>
            </w:r>
          </w:p>
        </w:tc>
        <w:tc>
          <w:tcPr>
            <w:tcW w:w="1231" w:type="dxa"/>
            <w:tcBorders>
              <w:top w:val="nil"/>
              <w:left w:val="nil"/>
              <w:bottom w:val="single" w:sz="8" w:space="0" w:color="000000"/>
              <w:right w:val="single" w:sz="8" w:space="0" w:color="000000"/>
            </w:tcBorders>
            <w:shd w:val="clear" w:color="auto" w:fill="auto"/>
            <w:vAlign w:val="bottom"/>
          </w:tcPr>
          <w:p w14:paraId="0000012F"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7.839</w:t>
            </w:r>
          </w:p>
        </w:tc>
        <w:tc>
          <w:tcPr>
            <w:tcW w:w="1231" w:type="dxa"/>
            <w:tcBorders>
              <w:top w:val="nil"/>
              <w:left w:val="nil"/>
              <w:bottom w:val="single" w:sz="8" w:space="0" w:color="000000"/>
              <w:right w:val="single" w:sz="8" w:space="0" w:color="000000"/>
            </w:tcBorders>
            <w:shd w:val="clear" w:color="auto" w:fill="auto"/>
            <w:vAlign w:val="bottom"/>
          </w:tcPr>
          <w:p w14:paraId="00000130"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7.619</w:t>
            </w:r>
          </w:p>
        </w:tc>
        <w:tc>
          <w:tcPr>
            <w:tcW w:w="1235" w:type="dxa"/>
            <w:tcBorders>
              <w:top w:val="nil"/>
              <w:left w:val="nil"/>
              <w:bottom w:val="single" w:sz="8" w:space="0" w:color="000000"/>
              <w:right w:val="single" w:sz="8" w:space="0" w:color="000000"/>
            </w:tcBorders>
            <w:shd w:val="clear" w:color="auto" w:fill="FFFFFF"/>
            <w:vAlign w:val="center"/>
          </w:tcPr>
          <w:p w14:paraId="00000131"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-2,81%</w:t>
            </w:r>
          </w:p>
        </w:tc>
        <w:tc>
          <w:tcPr>
            <w:tcW w:w="1235" w:type="dxa"/>
            <w:tcBorders>
              <w:top w:val="nil"/>
              <w:left w:val="nil"/>
              <w:bottom w:val="single" w:sz="8" w:space="0" w:color="000000"/>
              <w:right w:val="single" w:sz="8" w:space="0" w:color="000000"/>
            </w:tcBorders>
            <w:shd w:val="clear" w:color="auto" w:fill="auto"/>
            <w:vAlign w:val="center"/>
          </w:tcPr>
          <w:p w14:paraId="00000132"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-14,99%</w:t>
            </w:r>
          </w:p>
        </w:tc>
        <w:tc>
          <w:tcPr>
            <w:tcW w:w="146" w:type="dxa"/>
            <w:vAlign w:val="center"/>
          </w:tcPr>
          <w:p w14:paraId="00000133" w14:textId="77777777" w:rsidR="00270AD8" w:rsidRDefault="00270AD8">
            <w:pPr>
              <w:rPr>
                <w:sz w:val="20"/>
                <w:szCs w:val="20"/>
              </w:rPr>
            </w:pPr>
          </w:p>
        </w:tc>
      </w:tr>
      <w:tr w:rsidR="00270AD8" w14:paraId="1A530E95"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34" w14:textId="77777777" w:rsidR="00270AD8" w:rsidRDefault="007E7E54">
            <w:pPr>
              <w:rPr>
                <w:rFonts w:ascii="Calibri" w:eastAsia="Calibri" w:hAnsi="Calibri" w:cs="Calibri"/>
                <w:color w:val="000000"/>
              </w:rPr>
            </w:pPr>
            <w:r>
              <w:rPr>
                <w:rFonts w:ascii="Calibri" w:eastAsia="Calibri" w:hAnsi="Calibri" w:cs="Calibri"/>
                <w:color w:val="000000"/>
              </w:rPr>
              <w:t>Illes Balears</w:t>
            </w:r>
          </w:p>
        </w:tc>
        <w:tc>
          <w:tcPr>
            <w:tcW w:w="1231" w:type="dxa"/>
            <w:tcBorders>
              <w:top w:val="nil"/>
              <w:left w:val="nil"/>
              <w:bottom w:val="single" w:sz="8" w:space="0" w:color="000000"/>
              <w:right w:val="single" w:sz="8" w:space="0" w:color="000000"/>
            </w:tcBorders>
            <w:shd w:val="clear" w:color="auto" w:fill="auto"/>
            <w:vAlign w:val="bottom"/>
          </w:tcPr>
          <w:p w14:paraId="00000135"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3.303</w:t>
            </w:r>
          </w:p>
        </w:tc>
        <w:tc>
          <w:tcPr>
            <w:tcW w:w="1231" w:type="dxa"/>
            <w:tcBorders>
              <w:top w:val="nil"/>
              <w:left w:val="nil"/>
              <w:bottom w:val="nil"/>
              <w:right w:val="nil"/>
            </w:tcBorders>
            <w:shd w:val="clear" w:color="auto" w:fill="auto"/>
            <w:vAlign w:val="bottom"/>
          </w:tcPr>
          <w:p w14:paraId="00000136"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1.374</w:t>
            </w:r>
          </w:p>
        </w:tc>
        <w:tc>
          <w:tcPr>
            <w:tcW w:w="1231" w:type="dxa"/>
            <w:tcBorders>
              <w:top w:val="nil"/>
              <w:left w:val="single" w:sz="8" w:space="0" w:color="000000"/>
              <w:bottom w:val="single" w:sz="8" w:space="0" w:color="000000"/>
              <w:right w:val="single" w:sz="8" w:space="0" w:color="000000"/>
            </w:tcBorders>
            <w:shd w:val="clear" w:color="auto" w:fill="auto"/>
            <w:vAlign w:val="bottom"/>
          </w:tcPr>
          <w:p w14:paraId="00000137"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1.350</w:t>
            </w:r>
          </w:p>
        </w:tc>
        <w:tc>
          <w:tcPr>
            <w:tcW w:w="1235" w:type="dxa"/>
            <w:tcBorders>
              <w:top w:val="nil"/>
              <w:left w:val="nil"/>
              <w:bottom w:val="single" w:sz="8" w:space="0" w:color="000000"/>
              <w:right w:val="single" w:sz="8" w:space="0" w:color="000000"/>
            </w:tcBorders>
            <w:shd w:val="clear" w:color="auto" w:fill="FFFFFF"/>
            <w:vAlign w:val="center"/>
          </w:tcPr>
          <w:p w14:paraId="00000138"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-1,75%</w:t>
            </w:r>
          </w:p>
        </w:tc>
        <w:tc>
          <w:tcPr>
            <w:tcW w:w="1235" w:type="dxa"/>
            <w:tcBorders>
              <w:top w:val="nil"/>
              <w:left w:val="nil"/>
              <w:bottom w:val="single" w:sz="8" w:space="0" w:color="000000"/>
              <w:right w:val="single" w:sz="8" w:space="0" w:color="000000"/>
            </w:tcBorders>
            <w:shd w:val="clear" w:color="auto" w:fill="auto"/>
            <w:vAlign w:val="center"/>
          </w:tcPr>
          <w:p w14:paraId="00000139"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-59,13%</w:t>
            </w:r>
          </w:p>
        </w:tc>
        <w:tc>
          <w:tcPr>
            <w:tcW w:w="146" w:type="dxa"/>
            <w:vAlign w:val="center"/>
          </w:tcPr>
          <w:p w14:paraId="0000013A" w14:textId="77777777" w:rsidR="00270AD8" w:rsidRDefault="00270AD8">
            <w:pPr>
              <w:rPr>
                <w:sz w:val="20"/>
                <w:szCs w:val="20"/>
              </w:rPr>
            </w:pPr>
          </w:p>
        </w:tc>
      </w:tr>
      <w:tr w:rsidR="00270AD8" w14:paraId="7F6320E6"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3B" w14:textId="77777777" w:rsidR="00270AD8" w:rsidRDefault="007E7E54">
            <w:pPr>
              <w:rPr>
                <w:rFonts w:ascii="Calibri" w:eastAsia="Calibri" w:hAnsi="Calibri" w:cs="Calibri"/>
                <w:color w:val="000000"/>
              </w:rPr>
            </w:pPr>
            <w:r>
              <w:rPr>
                <w:rFonts w:ascii="Calibri" w:eastAsia="Calibri" w:hAnsi="Calibri" w:cs="Calibri"/>
                <w:color w:val="000000"/>
              </w:rPr>
              <w:t>La Rioja</w:t>
            </w:r>
          </w:p>
        </w:tc>
        <w:tc>
          <w:tcPr>
            <w:tcW w:w="1231" w:type="dxa"/>
            <w:tcBorders>
              <w:top w:val="nil"/>
              <w:left w:val="nil"/>
              <w:bottom w:val="single" w:sz="8" w:space="0" w:color="000000"/>
              <w:right w:val="single" w:sz="8" w:space="0" w:color="000000"/>
            </w:tcBorders>
            <w:shd w:val="clear" w:color="auto" w:fill="auto"/>
            <w:vAlign w:val="bottom"/>
          </w:tcPr>
          <w:p w14:paraId="0000013C"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803</w:t>
            </w:r>
          </w:p>
        </w:tc>
        <w:tc>
          <w:tcPr>
            <w:tcW w:w="1231" w:type="dxa"/>
            <w:tcBorders>
              <w:top w:val="single" w:sz="8" w:space="0" w:color="000000"/>
              <w:left w:val="nil"/>
              <w:bottom w:val="single" w:sz="8" w:space="0" w:color="000000"/>
              <w:right w:val="single" w:sz="8" w:space="0" w:color="000000"/>
            </w:tcBorders>
            <w:shd w:val="clear" w:color="auto" w:fill="auto"/>
            <w:vAlign w:val="bottom"/>
          </w:tcPr>
          <w:p w14:paraId="0000013D"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634</w:t>
            </w:r>
          </w:p>
        </w:tc>
        <w:tc>
          <w:tcPr>
            <w:tcW w:w="1231" w:type="dxa"/>
            <w:tcBorders>
              <w:top w:val="nil"/>
              <w:left w:val="nil"/>
              <w:bottom w:val="single" w:sz="8" w:space="0" w:color="000000"/>
              <w:right w:val="single" w:sz="8" w:space="0" w:color="000000"/>
            </w:tcBorders>
            <w:shd w:val="clear" w:color="auto" w:fill="auto"/>
            <w:vAlign w:val="bottom"/>
          </w:tcPr>
          <w:p w14:paraId="0000013E"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593</w:t>
            </w:r>
          </w:p>
        </w:tc>
        <w:tc>
          <w:tcPr>
            <w:tcW w:w="1235" w:type="dxa"/>
            <w:tcBorders>
              <w:top w:val="nil"/>
              <w:left w:val="nil"/>
              <w:bottom w:val="single" w:sz="8" w:space="0" w:color="000000"/>
              <w:right w:val="single" w:sz="8" w:space="0" w:color="000000"/>
            </w:tcBorders>
            <w:shd w:val="clear" w:color="auto" w:fill="FFFFFF"/>
            <w:vAlign w:val="center"/>
          </w:tcPr>
          <w:p w14:paraId="0000013F"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-6,47%</w:t>
            </w:r>
          </w:p>
        </w:tc>
        <w:tc>
          <w:tcPr>
            <w:tcW w:w="1235" w:type="dxa"/>
            <w:tcBorders>
              <w:top w:val="nil"/>
              <w:left w:val="nil"/>
              <w:bottom w:val="single" w:sz="8" w:space="0" w:color="000000"/>
              <w:right w:val="single" w:sz="8" w:space="0" w:color="000000"/>
            </w:tcBorders>
            <w:shd w:val="clear" w:color="auto" w:fill="auto"/>
            <w:vAlign w:val="center"/>
          </w:tcPr>
          <w:p w14:paraId="00000140"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-26,15%</w:t>
            </w:r>
          </w:p>
        </w:tc>
        <w:tc>
          <w:tcPr>
            <w:tcW w:w="146" w:type="dxa"/>
            <w:vAlign w:val="center"/>
          </w:tcPr>
          <w:p w14:paraId="00000141" w14:textId="77777777" w:rsidR="00270AD8" w:rsidRDefault="00270AD8">
            <w:pPr>
              <w:rPr>
                <w:sz w:val="20"/>
                <w:szCs w:val="20"/>
              </w:rPr>
            </w:pPr>
          </w:p>
        </w:tc>
      </w:tr>
      <w:tr w:rsidR="00270AD8" w14:paraId="18F20F4B"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42" w14:textId="77777777" w:rsidR="00270AD8" w:rsidRDefault="007E7E54">
            <w:pPr>
              <w:rPr>
                <w:rFonts w:ascii="Calibri" w:eastAsia="Calibri" w:hAnsi="Calibri" w:cs="Calibri"/>
                <w:color w:val="000000"/>
              </w:rPr>
            </w:pPr>
            <w:r>
              <w:rPr>
                <w:rFonts w:ascii="Calibri" w:eastAsia="Calibri" w:hAnsi="Calibri" w:cs="Calibri"/>
                <w:color w:val="000000"/>
              </w:rPr>
              <w:t>Madrid</w:t>
            </w:r>
          </w:p>
        </w:tc>
        <w:tc>
          <w:tcPr>
            <w:tcW w:w="1231" w:type="dxa"/>
            <w:tcBorders>
              <w:top w:val="nil"/>
              <w:left w:val="nil"/>
              <w:bottom w:val="single" w:sz="8" w:space="0" w:color="000000"/>
              <w:right w:val="single" w:sz="8" w:space="0" w:color="000000"/>
            </w:tcBorders>
            <w:shd w:val="clear" w:color="auto" w:fill="auto"/>
            <w:vAlign w:val="bottom"/>
          </w:tcPr>
          <w:p w14:paraId="00000143"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67.306</w:t>
            </w:r>
          </w:p>
        </w:tc>
        <w:tc>
          <w:tcPr>
            <w:tcW w:w="1231" w:type="dxa"/>
            <w:tcBorders>
              <w:top w:val="nil"/>
              <w:left w:val="nil"/>
              <w:bottom w:val="single" w:sz="8" w:space="0" w:color="000000"/>
              <w:right w:val="single" w:sz="8" w:space="0" w:color="000000"/>
            </w:tcBorders>
            <w:shd w:val="clear" w:color="auto" w:fill="auto"/>
            <w:vAlign w:val="bottom"/>
          </w:tcPr>
          <w:p w14:paraId="00000144"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34.202</w:t>
            </w:r>
          </w:p>
        </w:tc>
        <w:tc>
          <w:tcPr>
            <w:tcW w:w="1231" w:type="dxa"/>
            <w:tcBorders>
              <w:top w:val="nil"/>
              <w:left w:val="nil"/>
              <w:bottom w:val="single" w:sz="8" w:space="0" w:color="000000"/>
              <w:right w:val="single" w:sz="8" w:space="0" w:color="000000"/>
            </w:tcBorders>
            <w:shd w:val="clear" w:color="auto" w:fill="auto"/>
            <w:vAlign w:val="bottom"/>
          </w:tcPr>
          <w:p w14:paraId="00000145"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32.051</w:t>
            </w:r>
          </w:p>
        </w:tc>
        <w:tc>
          <w:tcPr>
            <w:tcW w:w="1235" w:type="dxa"/>
            <w:tcBorders>
              <w:top w:val="nil"/>
              <w:left w:val="nil"/>
              <w:bottom w:val="single" w:sz="8" w:space="0" w:color="000000"/>
              <w:right w:val="single" w:sz="8" w:space="0" w:color="000000"/>
            </w:tcBorders>
            <w:shd w:val="clear" w:color="auto" w:fill="FFFFFF"/>
            <w:vAlign w:val="center"/>
          </w:tcPr>
          <w:p w14:paraId="00000146"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-6,29%</w:t>
            </w:r>
          </w:p>
        </w:tc>
        <w:tc>
          <w:tcPr>
            <w:tcW w:w="1235" w:type="dxa"/>
            <w:tcBorders>
              <w:top w:val="nil"/>
              <w:left w:val="nil"/>
              <w:bottom w:val="single" w:sz="8" w:space="0" w:color="000000"/>
              <w:right w:val="single" w:sz="8" w:space="0" w:color="000000"/>
            </w:tcBorders>
            <w:shd w:val="clear" w:color="auto" w:fill="auto"/>
            <w:vAlign w:val="center"/>
          </w:tcPr>
          <w:p w14:paraId="00000147"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-52,38%</w:t>
            </w:r>
          </w:p>
        </w:tc>
        <w:tc>
          <w:tcPr>
            <w:tcW w:w="146" w:type="dxa"/>
            <w:vAlign w:val="center"/>
          </w:tcPr>
          <w:p w14:paraId="00000148" w14:textId="77777777" w:rsidR="00270AD8" w:rsidRDefault="00270AD8">
            <w:pPr>
              <w:rPr>
                <w:sz w:val="20"/>
                <w:szCs w:val="20"/>
              </w:rPr>
            </w:pPr>
          </w:p>
        </w:tc>
      </w:tr>
      <w:tr w:rsidR="00270AD8" w14:paraId="19416DEA"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49" w14:textId="77777777" w:rsidR="00270AD8" w:rsidRDefault="007E7E54">
            <w:pPr>
              <w:rPr>
                <w:rFonts w:ascii="Calibri" w:eastAsia="Calibri" w:hAnsi="Calibri" w:cs="Calibri"/>
                <w:color w:val="000000"/>
              </w:rPr>
            </w:pPr>
            <w:r>
              <w:rPr>
                <w:rFonts w:ascii="Calibri" w:eastAsia="Calibri" w:hAnsi="Calibri" w:cs="Calibri"/>
                <w:color w:val="000000"/>
              </w:rPr>
              <w:t>Murcia</w:t>
            </w:r>
          </w:p>
        </w:tc>
        <w:tc>
          <w:tcPr>
            <w:tcW w:w="1231" w:type="dxa"/>
            <w:tcBorders>
              <w:top w:val="nil"/>
              <w:left w:val="nil"/>
              <w:bottom w:val="single" w:sz="8" w:space="0" w:color="000000"/>
              <w:right w:val="single" w:sz="8" w:space="0" w:color="000000"/>
            </w:tcBorders>
            <w:shd w:val="clear" w:color="auto" w:fill="auto"/>
            <w:vAlign w:val="bottom"/>
          </w:tcPr>
          <w:p w14:paraId="0000014A"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2.382</w:t>
            </w:r>
          </w:p>
        </w:tc>
        <w:tc>
          <w:tcPr>
            <w:tcW w:w="1231" w:type="dxa"/>
            <w:tcBorders>
              <w:top w:val="nil"/>
              <w:left w:val="nil"/>
              <w:bottom w:val="single" w:sz="8" w:space="0" w:color="000000"/>
              <w:right w:val="single" w:sz="8" w:space="0" w:color="000000"/>
            </w:tcBorders>
            <w:shd w:val="clear" w:color="auto" w:fill="auto"/>
            <w:vAlign w:val="bottom"/>
          </w:tcPr>
          <w:p w14:paraId="0000014B"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2.102</w:t>
            </w:r>
          </w:p>
        </w:tc>
        <w:tc>
          <w:tcPr>
            <w:tcW w:w="1231" w:type="dxa"/>
            <w:tcBorders>
              <w:top w:val="nil"/>
              <w:left w:val="nil"/>
              <w:bottom w:val="single" w:sz="8" w:space="0" w:color="000000"/>
              <w:right w:val="single" w:sz="8" w:space="0" w:color="000000"/>
            </w:tcBorders>
            <w:shd w:val="clear" w:color="auto" w:fill="auto"/>
            <w:vAlign w:val="bottom"/>
          </w:tcPr>
          <w:p w14:paraId="0000014C"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2.174</w:t>
            </w:r>
          </w:p>
        </w:tc>
        <w:tc>
          <w:tcPr>
            <w:tcW w:w="1235" w:type="dxa"/>
            <w:tcBorders>
              <w:top w:val="nil"/>
              <w:left w:val="nil"/>
              <w:bottom w:val="single" w:sz="8" w:space="0" w:color="000000"/>
              <w:right w:val="single" w:sz="8" w:space="0" w:color="000000"/>
            </w:tcBorders>
            <w:shd w:val="clear" w:color="auto" w:fill="FFFFFF"/>
            <w:vAlign w:val="center"/>
          </w:tcPr>
          <w:p w14:paraId="0000014D" w14:textId="77777777" w:rsidR="00270AD8" w:rsidRDefault="007E7E54">
            <w:pPr>
              <w:jc w:val="center"/>
              <w:rPr>
                <w:rFonts w:ascii="Calibri" w:eastAsia="Calibri" w:hAnsi="Calibri" w:cs="Calibri"/>
                <w:sz w:val="22"/>
                <w:szCs w:val="22"/>
              </w:rPr>
            </w:pPr>
            <w:r>
              <w:rPr>
                <w:rFonts w:ascii="Calibri" w:eastAsia="Calibri" w:hAnsi="Calibri" w:cs="Calibri"/>
                <w:sz w:val="22"/>
                <w:szCs w:val="22"/>
              </w:rPr>
              <w:t>3,43%</w:t>
            </w:r>
          </w:p>
        </w:tc>
        <w:tc>
          <w:tcPr>
            <w:tcW w:w="1235" w:type="dxa"/>
            <w:tcBorders>
              <w:top w:val="nil"/>
              <w:left w:val="nil"/>
              <w:bottom w:val="single" w:sz="8" w:space="0" w:color="000000"/>
              <w:right w:val="single" w:sz="8" w:space="0" w:color="000000"/>
            </w:tcBorders>
            <w:shd w:val="clear" w:color="auto" w:fill="auto"/>
            <w:vAlign w:val="center"/>
          </w:tcPr>
          <w:p w14:paraId="0000014E"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-8,73%</w:t>
            </w:r>
          </w:p>
        </w:tc>
        <w:tc>
          <w:tcPr>
            <w:tcW w:w="146" w:type="dxa"/>
            <w:vAlign w:val="center"/>
          </w:tcPr>
          <w:p w14:paraId="0000014F" w14:textId="77777777" w:rsidR="00270AD8" w:rsidRDefault="00270AD8">
            <w:pPr>
              <w:rPr>
                <w:sz w:val="20"/>
                <w:szCs w:val="20"/>
              </w:rPr>
            </w:pPr>
          </w:p>
        </w:tc>
      </w:tr>
      <w:tr w:rsidR="00270AD8" w14:paraId="7E227049"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50" w14:textId="77777777" w:rsidR="00270AD8" w:rsidRDefault="007E7E54">
            <w:pPr>
              <w:rPr>
                <w:rFonts w:ascii="Calibri" w:eastAsia="Calibri" w:hAnsi="Calibri" w:cs="Calibri"/>
                <w:color w:val="000000"/>
              </w:rPr>
            </w:pPr>
            <w:r>
              <w:rPr>
                <w:rFonts w:ascii="Calibri" w:eastAsia="Calibri" w:hAnsi="Calibri" w:cs="Calibri"/>
                <w:color w:val="000000"/>
              </w:rPr>
              <w:t>Navarra</w:t>
            </w:r>
          </w:p>
        </w:tc>
        <w:tc>
          <w:tcPr>
            <w:tcW w:w="1231" w:type="dxa"/>
            <w:tcBorders>
              <w:top w:val="nil"/>
              <w:left w:val="nil"/>
              <w:bottom w:val="single" w:sz="8" w:space="0" w:color="000000"/>
              <w:right w:val="single" w:sz="8" w:space="0" w:color="000000"/>
            </w:tcBorders>
            <w:shd w:val="clear" w:color="auto" w:fill="auto"/>
            <w:vAlign w:val="bottom"/>
          </w:tcPr>
          <w:p w14:paraId="00000151"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1.832</w:t>
            </w:r>
          </w:p>
        </w:tc>
        <w:tc>
          <w:tcPr>
            <w:tcW w:w="1231" w:type="dxa"/>
            <w:tcBorders>
              <w:top w:val="nil"/>
              <w:left w:val="nil"/>
              <w:bottom w:val="single" w:sz="8" w:space="0" w:color="000000"/>
              <w:right w:val="single" w:sz="8" w:space="0" w:color="000000"/>
            </w:tcBorders>
            <w:shd w:val="clear" w:color="auto" w:fill="auto"/>
            <w:vAlign w:val="bottom"/>
          </w:tcPr>
          <w:p w14:paraId="00000152"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1.577</w:t>
            </w:r>
          </w:p>
        </w:tc>
        <w:tc>
          <w:tcPr>
            <w:tcW w:w="1231" w:type="dxa"/>
            <w:tcBorders>
              <w:top w:val="nil"/>
              <w:left w:val="nil"/>
              <w:bottom w:val="single" w:sz="8" w:space="0" w:color="000000"/>
              <w:right w:val="single" w:sz="8" w:space="0" w:color="000000"/>
            </w:tcBorders>
            <w:shd w:val="clear" w:color="auto" w:fill="auto"/>
            <w:vAlign w:val="bottom"/>
          </w:tcPr>
          <w:p w14:paraId="00000153"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1.271</w:t>
            </w:r>
          </w:p>
        </w:tc>
        <w:tc>
          <w:tcPr>
            <w:tcW w:w="1235" w:type="dxa"/>
            <w:tcBorders>
              <w:top w:val="nil"/>
              <w:left w:val="nil"/>
              <w:bottom w:val="single" w:sz="8" w:space="0" w:color="000000"/>
              <w:right w:val="single" w:sz="8" w:space="0" w:color="000000"/>
            </w:tcBorders>
            <w:shd w:val="clear" w:color="auto" w:fill="FFFFFF"/>
            <w:vAlign w:val="center"/>
          </w:tcPr>
          <w:p w14:paraId="00000154"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-19,40%</w:t>
            </w:r>
          </w:p>
        </w:tc>
        <w:tc>
          <w:tcPr>
            <w:tcW w:w="1235" w:type="dxa"/>
            <w:tcBorders>
              <w:top w:val="nil"/>
              <w:left w:val="nil"/>
              <w:bottom w:val="single" w:sz="8" w:space="0" w:color="000000"/>
              <w:right w:val="single" w:sz="8" w:space="0" w:color="000000"/>
            </w:tcBorders>
            <w:shd w:val="clear" w:color="auto" w:fill="auto"/>
            <w:vAlign w:val="center"/>
          </w:tcPr>
          <w:p w14:paraId="00000155"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-30,62%</w:t>
            </w:r>
          </w:p>
        </w:tc>
        <w:tc>
          <w:tcPr>
            <w:tcW w:w="146" w:type="dxa"/>
            <w:vAlign w:val="center"/>
          </w:tcPr>
          <w:p w14:paraId="00000156" w14:textId="77777777" w:rsidR="00270AD8" w:rsidRDefault="00270AD8">
            <w:pPr>
              <w:rPr>
                <w:sz w:val="20"/>
                <w:szCs w:val="20"/>
              </w:rPr>
            </w:pPr>
          </w:p>
        </w:tc>
      </w:tr>
      <w:tr w:rsidR="00270AD8" w14:paraId="0A3AAF43" w14:textId="77777777">
        <w:trPr>
          <w:trHeight w:val="324"/>
        </w:trPr>
        <w:tc>
          <w:tcPr>
            <w:tcW w:w="2681" w:type="dxa"/>
            <w:tcBorders>
              <w:top w:val="nil"/>
              <w:left w:val="single" w:sz="8" w:space="0" w:color="000000"/>
              <w:bottom w:val="single" w:sz="8" w:space="0" w:color="000000"/>
              <w:right w:val="single" w:sz="8" w:space="0" w:color="000000"/>
            </w:tcBorders>
            <w:shd w:val="clear" w:color="auto" w:fill="auto"/>
            <w:vAlign w:val="bottom"/>
          </w:tcPr>
          <w:p w14:paraId="00000157" w14:textId="77777777" w:rsidR="00270AD8" w:rsidRDefault="007E7E54">
            <w:pPr>
              <w:rPr>
                <w:rFonts w:ascii="Calibri" w:eastAsia="Calibri" w:hAnsi="Calibri" w:cs="Calibri"/>
                <w:color w:val="000000"/>
              </w:rPr>
            </w:pPr>
            <w:r>
              <w:rPr>
                <w:rFonts w:ascii="Calibri" w:eastAsia="Calibri" w:hAnsi="Calibri" w:cs="Calibri"/>
                <w:color w:val="000000"/>
              </w:rPr>
              <w:t>País Vasco / Euskadi</w:t>
            </w:r>
          </w:p>
        </w:tc>
        <w:tc>
          <w:tcPr>
            <w:tcW w:w="1231" w:type="dxa"/>
            <w:tcBorders>
              <w:top w:val="nil"/>
              <w:left w:val="nil"/>
              <w:bottom w:val="single" w:sz="8" w:space="0" w:color="000000"/>
              <w:right w:val="single" w:sz="8" w:space="0" w:color="000000"/>
            </w:tcBorders>
            <w:shd w:val="clear" w:color="auto" w:fill="auto"/>
            <w:vAlign w:val="bottom"/>
          </w:tcPr>
          <w:p w14:paraId="00000158"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7.906</w:t>
            </w:r>
          </w:p>
        </w:tc>
        <w:tc>
          <w:tcPr>
            <w:tcW w:w="1231" w:type="dxa"/>
            <w:tcBorders>
              <w:top w:val="nil"/>
              <w:left w:val="nil"/>
              <w:bottom w:val="single" w:sz="8" w:space="0" w:color="000000"/>
              <w:right w:val="single" w:sz="8" w:space="0" w:color="000000"/>
            </w:tcBorders>
            <w:shd w:val="clear" w:color="auto" w:fill="auto"/>
            <w:vAlign w:val="bottom"/>
          </w:tcPr>
          <w:p w14:paraId="00000159"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6.444</w:t>
            </w:r>
          </w:p>
        </w:tc>
        <w:tc>
          <w:tcPr>
            <w:tcW w:w="1231" w:type="dxa"/>
            <w:tcBorders>
              <w:top w:val="nil"/>
              <w:left w:val="nil"/>
              <w:bottom w:val="single" w:sz="8" w:space="0" w:color="000000"/>
              <w:right w:val="single" w:sz="8" w:space="0" w:color="000000"/>
            </w:tcBorders>
            <w:shd w:val="clear" w:color="auto" w:fill="auto"/>
            <w:vAlign w:val="bottom"/>
          </w:tcPr>
          <w:p w14:paraId="0000015A" w14:textId="77777777" w:rsidR="00270AD8" w:rsidRDefault="007E7E54">
            <w:pPr>
              <w:jc w:val="center"/>
              <w:rPr>
                <w:rFonts w:ascii="Calibri" w:eastAsia="Calibri" w:hAnsi="Calibri" w:cs="Calibri"/>
                <w:color w:val="000000"/>
                <w:sz w:val="22"/>
                <w:szCs w:val="22"/>
              </w:rPr>
            </w:pPr>
            <w:r>
              <w:rPr>
                <w:rFonts w:ascii="Calibri" w:eastAsia="Calibri" w:hAnsi="Calibri" w:cs="Calibri"/>
                <w:color w:val="000000"/>
                <w:sz w:val="22"/>
                <w:szCs w:val="22"/>
              </w:rPr>
              <w:t>5.225</w:t>
            </w:r>
          </w:p>
        </w:tc>
        <w:tc>
          <w:tcPr>
            <w:tcW w:w="1235" w:type="dxa"/>
            <w:tcBorders>
              <w:top w:val="nil"/>
              <w:left w:val="nil"/>
              <w:bottom w:val="single" w:sz="8" w:space="0" w:color="000000"/>
              <w:right w:val="single" w:sz="8" w:space="0" w:color="000000"/>
            </w:tcBorders>
            <w:shd w:val="clear" w:color="auto" w:fill="FFFFFF"/>
            <w:vAlign w:val="center"/>
          </w:tcPr>
          <w:p w14:paraId="0000015B"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-18,92%</w:t>
            </w:r>
          </w:p>
        </w:tc>
        <w:tc>
          <w:tcPr>
            <w:tcW w:w="1235" w:type="dxa"/>
            <w:tcBorders>
              <w:top w:val="nil"/>
              <w:left w:val="nil"/>
              <w:bottom w:val="single" w:sz="8" w:space="0" w:color="000000"/>
              <w:right w:val="single" w:sz="8" w:space="0" w:color="000000"/>
            </w:tcBorders>
            <w:shd w:val="clear" w:color="auto" w:fill="auto"/>
            <w:vAlign w:val="center"/>
          </w:tcPr>
          <w:p w14:paraId="0000015C" w14:textId="77777777" w:rsidR="00270AD8" w:rsidRDefault="007E7E54">
            <w:pPr>
              <w:jc w:val="center"/>
              <w:rPr>
                <w:rFonts w:ascii="Calibri" w:eastAsia="Calibri" w:hAnsi="Calibri" w:cs="Calibri"/>
                <w:color w:val="FF0000"/>
                <w:sz w:val="22"/>
                <w:szCs w:val="22"/>
              </w:rPr>
            </w:pPr>
            <w:r>
              <w:rPr>
                <w:rFonts w:ascii="Calibri" w:eastAsia="Calibri" w:hAnsi="Calibri" w:cs="Calibri"/>
                <w:color w:val="FF0000"/>
                <w:sz w:val="22"/>
                <w:szCs w:val="22"/>
              </w:rPr>
              <w:t>-33,91%</w:t>
            </w:r>
          </w:p>
        </w:tc>
        <w:tc>
          <w:tcPr>
            <w:tcW w:w="146" w:type="dxa"/>
            <w:vAlign w:val="center"/>
          </w:tcPr>
          <w:p w14:paraId="0000015D" w14:textId="77777777" w:rsidR="00270AD8" w:rsidRDefault="00270AD8">
            <w:pPr>
              <w:rPr>
                <w:sz w:val="20"/>
                <w:szCs w:val="20"/>
              </w:rPr>
            </w:pPr>
          </w:p>
        </w:tc>
      </w:tr>
      <w:tr w:rsidR="00270AD8" w14:paraId="086251DE" w14:textId="77777777">
        <w:trPr>
          <w:trHeight w:val="300"/>
        </w:trPr>
        <w:tc>
          <w:tcPr>
            <w:tcW w:w="2681" w:type="dxa"/>
            <w:tcBorders>
              <w:top w:val="nil"/>
              <w:left w:val="single" w:sz="8" w:space="0" w:color="000000"/>
              <w:bottom w:val="single" w:sz="8" w:space="0" w:color="000000"/>
              <w:right w:val="single" w:sz="8" w:space="0" w:color="000000"/>
            </w:tcBorders>
            <w:shd w:val="clear" w:color="auto" w:fill="0070C0"/>
            <w:vAlign w:val="bottom"/>
          </w:tcPr>
          <w:p w14:paraId="0000015E" w14:textId="77777777" w:rsidR="00270AD8" w:rsidRDefault="007E7E54">
            <w:pPr>
              <w:rPr>
                <w:rFonts w:ascii="Calibri" w:eastAsia="Calibri" w:hAnsi="Calibri" w:cs="Calibri"/>
                <w:b/>
                <w:color w:val="FFFFFF"/>
                <w:sz w:val="22"/>
                <w:szCs w:val="22"/>
              </w:rPr>
            </w:pPr>
            <w:r>
              <w:rPr>
                <w:rFonts w:ascii="Calibri" w:eastAsia="Calibri" w:hAnsi="Calibri" w:cs="Calibri"/>
                <w:b/>
                <w:color w:val="FFFFFF"/>
                <w:sz w:val="22"/>
                <w:szCs w:val="22"/>
              </w:rPr>
              <w:t>Total general</w:t>
            </w:r>
          </w:p>
        </w:tc>
        <w:tc>
          <w:tcPr>
            <w:tcW w:w="1231" w:type="dxa"/>
            <w:tcBorders>
              <w:top w:val="nil"/>
              <w:left w:val="nil"/>
              <w:bottom w:val="single" w:sz="8" w:space="0" w:color="000000"/>
              <w:right w:val="single" w:sz="8" w:space="0" w:color="000000"/>
            </w:tcBorders>
            <w:shd w:val="clear" w:color="auto" w:fill="0070C0"/>
            <w:vAlign w:val="bottom"/>
          </w:tcPr>
          <w:p w14:paraId="0000015F" w14:textId="77777777" w:rsidR="00270AD8" w:rsidRDefault="007E7E54">
            <w:pPr>
              <w:jc w:val="center"/>
              <w:rPr>
                <w:rFonts w:ascii="Calibri" w:eastAsia="Calibri" w:hAnsi="Calibri" w:cs="Calibri"/>
                <w:b/>
                <w:color w:val="FFFFFF"/>
                <w:sz w:val="22"/>
                <w:szCs w:val="22"/>
              </w:rPr>
            </w:pPr>
            <w:r>
              <w:rPr>
                <w:rFonts w:ascii="Calibri" w:eastAsia="Calibri" w:hAnsi="Calibri" w:cs="Calibri"/>
                <w:b/>
                <w:color w:val="FFFFFF"/>
                <w:sz w:val="22"/>
                <w:szCs w:val="22"/>
              </w:rPr>
              <w:t>218.600</w:t>
            </w:r>
          </w:p>
        </w:tc>
        <w:tc>
          <w:tcPr>
            <w:tcW w:w="1231" w:type="dxa"/>
            <w:tcBorders>
              <w:top w:val="nil"/>
              <w:left w:val="nil"/>
              <w:bottom w:val="single" w:sz="8" w:space="0" w:color="000000"/>
              <w:right w:val="single" w:sz="8" w:space="0" w:color="000000"/>
            </w:tcBorders>
            <w:shd w:val="clear" w:color="auto" w:fill="0070C0"/>
            <w:vAlign w:val="bottom"/>
          </w:tcPr>
          <w:p w14:paraId="00000160" w14:textId="77777777" w:rsidR="00270AD8" w:rsidRDefault="007E7E54">
            <w:pPr>
              <w:jc w:val="center"/>
              <w:rPr>
                <w:rFonts w:ascii="Calibri" w:eastAsia="Calibri" w:hAnsi="Calibri" w:cs="Calibri"/>
                <w:b/>
                <w:color w:val="FFFFFF"/>
                <w:sz w:val="22"/>
                <w:szCs w:val="22"/>
              </w:rPr>
            </w:pPr>
            <w:r>
              <w:rPr>
                <w:rFonts w:ascii="Calibri" w:eastAsia="Calibri" w:hAnsi="Calibri" w:cs="Calibri"/>
                <w:b/>
                <w:color w:val="FFFFFF"/>
                <w:sz w:val="22"/>
                <w:szCs w:val="22"/>
              </w:rPr>
              <w:t>145.275</w:t>
            </w:r>
          </w:p>
        </w:tc>
        <w:tc>
          <w:tcPr>
            <w:tcW w:w="1231" w:type="dxa"/>
            <w:tcBorders>
              <w:top w:val="nil"/>
              <w:left w:val="nil"/>
              <w:bottom w:val="single" w:sz="8" w:space="0" w:color="000000"/>
              <w:right w:val="single" w:sz="8" w:space="0" w:color="000000"/>
            </w:tcBorders>
            <w:shd w:val="clear" w:color="auto" w:fill="0070C0"/>
            <w:vAlign w:val="bottom"/>
          </w:tcPr>
          <w:p w14:paraId="00000161" w14:textId="77777777" w:rsidR="00270AD8" w:rsidRDefault="007E7E54">
            <w:pPr>
              <w:jc w:val="center"/>
              <w:rPr>
                <w:rFonts w:ascii="Calibri" w:eastAsia="Calibri" w:hAnsi="Calibri" w:cs="Calibri"/>
                <w:b/>
                <w:color w:val="FFFFFF"/>
                <w:sz w:val="22"/>
                <w:szCs w:val="22"/>
              </w:rPr>
            </w:pPr>
            <w:r>
              <w:rPr>
                <w:rFonts w:ascii="Calibri" w:eastAsia="Calibri" w:hAnsi="Calibri" w:cs="Calibri"/>
                <w:b/>
                <w:color w:val="FFFFFF"/>
                <w:sz w:val="22"/>
                <w:szCs w:val="22"/>
              </w:rPr>
              <w:t>129.675</w:t>
            </w:r>
          </w:p>
        </w:tc>
        <w:tc>
          <w:tcPr>
            <w:tcW w:w="1235" w:type="dxa"/>
            <w:tcBorders>
              <w:top w:val="nil"/>
              <w:left w:val="nil"/>
              <w:bottom w:val="single" w:sz="8" w:space="0" w:color="000000"/>
              <w:right w:val="single" w:sz="8" w:space="0" w:color="000000"/>
            </w:tcBorders>
            <w:shd w:val="clear" w:color="auto" w:fill="0070C0"/>
            <w:vAlign w:val="center"/>
          </w:tcPr>
          <w:p w14:paraId="00000162" w14:textId="77777777" w:rsidR="00270AD8" w:rsidRDefault="007E7E54">
            <w:pPr>
              <w:jc w:val="center"/>
              <w:rPr>
                <w:rFonts w:ascii="Calibri" w:eastAsia="Calibri" w:hAnsi="Calibri" w:cs="Calibri"/>
                <w:b/>
                <w:color w:val="FFFFFF"/>
                <w:sz w:val="22"/>
                <w:szCs w:val="22"/>
              </w:rPr>
            </w:pPr>
            <w:r>
              <w:rPr>
                <w:rFonts w:ascii="Calibri" w:eastAsia="Calibri" w:hAnsi="Calibri" w:cs="Calibri"/>
                <w:b/>
                <w:color w:val="FFFFFF"/>
                <w:sz w:val="22"/>
                <w:szCs w:val="22"/>
              </w:rPr>
              <w:t>-10,74%</w:t>
            </w:r>
          </w:p>
        </w:tc>
        <w:tc>
          <w:tcPr>
            <w:tcW w:w="1235" w:type="dxa"/>
            <w:tcBorders>
              <w:top w:val="nil"/>
              <w:left w:val="nil"/>
              <w:bottom w:val="single" w:sz="8" w:space="0" w:color="000000"/>
              <w:right w:val="single" w:sz="8" w:space="0" w:color="000000"/>
            </w:tcBorders>
            <w:shd w:val="clear" w:color="auto" w:fill="0070C0"/>
            <w:vAlign w:val="center"/>
          </w:tcPr>
          <w:p w14:paraId="00000163" w14:textId="77777777" w:rsidR="00270AD8" w:rsidRDefault="007E7E54">
            <w:pPr>
              <w:jc w:val="center"/>
              <w:rPr>
                <w:rFonts w:ascii="Calibri" w:eastAsia="Calibri" w:hAnsi="Calibri" w:cs="Calibri"/>
                <w:b/>
                <w:color w:val="FFFFFF"/>
                <w:sz w:val="22"/>
                <w:szCs w:val="22"/>
              </w:rPr>
            </w:pPr>
            <w:r>
              <w:rPr>
                <w:rFonts w:ascii="Calibri" w:eastAsia="Calibri" w:hAnsi="Calibri" w:cs="Calibri"/>
                <w:b/>
                <w:color w:val="FFFFFF"/>
                <w:sz w:val="22"/>
                <w:szCs w:val="22"/>
              </w:rPr>
              <w:t>-40,68%</w:t>
            </w:r>
          </w:p>
        </w:tc>
        <w:tc>
          <w:tcPr>
            <w:tcW w:w="146" w:type="dxa"/>
            <w:vAlign w:val="center"/>
          </w:tcPr>
          <w:p w14:paraId="00000164" w14:textId="77777777" w:rsidR="00270AD8" w:rsidRDefault="00270AD8">
            <w:pPr>
              <w:rPr>
                <w:sz w:val="20"/>
                <w:szCs w:val="20"/>
              </w:rPr>
            </w:pPr>
          </w:p>
        </w:tc>
      </w:tr>
    </w:tbl>
    <w:p w14:paraId="00000165" w14:textId="77777777" w:rsidR="00270AD8" w:rsidRDefault="00270AD8">
      <w:pPr>
        <w:pBdr>
          <w:top w:val="nil"/>
          <w:left w:val="nil"/>
          <w:bottom w:val="nil"/>
          <w:right w:val="nil"/>
          <w:between w:val="nil"/>
        </w:pBdr>
        <w:spacing w:line="360" w:lineRule="auto"/>
        <w:jc w:val="both"/>
        <w:rPr>
          <w:rFonts w:ascii="Arial" w:eastAsia="Arial" w:hAnsi="Arial" w:cs="Arial"/>
          <w:color w:val="000000"/>
          <w:sz w:val="20"/>
          <w:szCs w:val="20"/>
        </w:rPr>
      </w:pPr>
    </w:p>
    <w:p w14:paraId="00000166" w14:textId="77777777" w:rsidR="00270AD8" w:rsidRDefault="00270AD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rPr>
      </w:pPr>
    </w:p>
    <w:p w14:paraId="00000167" w14:textId="77777777" w:rsidR="00270AD8" w:rsidRDefault="007E7E5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Información adicional:</w:t>
      </w:r>
    </w:p>
    <w:p w14:paraId="00000168" w14:textId="77777777" w:rsidR="00270AD8" w:rsidRDefault="007E7E5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rPr>
      </w:pPr>
      <w:r>
        <w:rPr>
          <w:rFonts w:ascii="Arial" w:eastAsia="Arial" w:hAnsi="Arial" w:cs="Arial"/>
          <w:color w:val="000000"/>
          <w:sz w:val="20"/>
          <w:szCs w:val="20"/>
          <w:highlight w:val="white"/>
        </w:rPr>
        <w:t xml:space="preserve">Para acceder al histórico de otros meses puedes acceder a </w:t>
      </w:r>
      <w:hyperlink r:id="rId9">
        <w:r>
          <w:rPr>
            <w:rFonts w:ascii="Arial" w:eastAsia="Arial" w:hAnsi="Arial" w:cs="Arial"/>
            <w:color w:val="005180"/>
            <w:sz w:val="20"/>
            <w:szCs w:val="20"/>
            <w:highlight w:val="white"/>
            <w:u w:val="single"/>
          </w:rPr>
          <w:t>Indicadores InfoJobs</w:t>
        </w:r>
      </w:hyperlink>
      <w:r>
        <w:rPr>
          <w:rFonts w:ascii="Arial" w:eastAsia="Arial" w:hAnsi="Arial" w:cs="Arial"/>
          <w:color w:val="005180"/>
          <w:sz w:val="20"/>
          <w:szCs w:val="20"/>
          <w:highlight w:val="white"/>
          <w:u w:val="single"/>
        </w:rPr>
        <w:t>.</w:t>
      </w:r>
    </w:p>
    <w:p w14:paraId="00000169" w14:textId="77777777" w:rsidR="00270AD8" w:rsidRDefault="00270AD8">
      <w:pPr>
        <w:spacing w:line="360" w:lineRule="auto"/>
        <w:jc w:val="both"/>
        <w:rPr>
          <w:rFonts w:ascii="Arial" w:eastAsia="Arial" w:hAnsi="Arial" w:cs="Arial"/>
          <w:b/>
          <w:color w:val="808080"/>
          <w:sz w:val="16"/>
          <w:szCs w:val="16"/>
          <w:u w:val="single"/>
        </w:rPr>
      </w:pPr>
    </w:p>
    <w:p w14:paraId="0000016A" w14:textId="77777777" w:rsidR="00270AD8" w:rsidRDefault="007E7E54">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0000016B" w14:textId="77777777" w:rsidR="00270AD8" w:rsidRDefault="007E7E54">
      <w:pPr>
        <w:pBdr>
          <w:top w:val="nil"/>
          <w:left w:val="nil"/>
          <w:bottom w:val="nil"/>
          <w:right w:val="nil"/>
          <w:between w:val="nil"/>
        </w:pBdr>
        <w:jc w:val="both"/>
        <w:rPr>
          <w:color w:val="000000"/>
        </w:rPr>
      </w:pPr>
      <w:r>
        <w:rPr>
          <w:rFonts w:ascii="Arial" w:eastAsia="Arial" w:hAnsi="Arial" w:cs="Arial"/>
          <w:color w:val="8080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w:t>
      </w:r>
    </w:p>
    <w:p w14:paraId="0000016C" w14:textId="77777777" w:rsidR="00270AD8" w:rsidRDefault="00270AD8"/>
    <w:p w14:paraId="0000016D" w14:textId="77777777" w:rsidR="00270AD8" w:rsidRDefault="007E7E54">
      <w:pPr>
        <w:pBdr>
          <w:top w:val="nil"/>
          <w:left w:val="nil"/>
          <w:bottom w:val="nil"/>
          <w:right w:val="nil"/>
          <w:between w:val="nil"/>
        </w:pBdr>
        <w:shd w:val="clear" w:color="auto" w:fill="FFFFFF"/>
        <w:jc w:val="both"/>
        <w:rPr>
          <w:color w:val="000000"/>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w:t>
      </w:r>
      <w:hyperlink r:id="rId10">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1">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hyperlink r:id="rId12">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3">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4">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fldChar w:fldCharType="begin"/>
      </w:r>
      <w:r>
        <w:instrText xml:space="preserve"> HYPERLINK "https://www.milanuncios.com/" \h </w:instrText>
      </w:r>
      <w:r>
        <w:fldChar w:fldCharType="separate"/>
      </w:r>
      <w:r>
        <w:rPr>
          <w:rFonts w:ascii="Arial" w:eastAsia="Arial" w:hAnsi="Arial" w:cs="Arial"/>
          <w:color w:val="808080"/>
          <w:sz w:val="16"/>
          <w:szCs w:val="16"/>
          <w:u w:val="single"/>
        </w:rPr>
        <w:t>Milanuncios</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w:t>
      </w:r>
    </w:p>
    <w:p w14:paraId="0000016E" w14:textId="77777777" w:rsidR="00270AD8" w:rsidRDefault="007E7E54">
      <w:pPr>
        <w:pBdr>
          <w:top w:val="nil"/>
          <w:left w:val="nil"/>
          <w:bottom w:val="nil"/>
          <w:right w:val="nil"/>
          <w:between w:val="nil"/>
        </w:pBdr>
        <w:shd w:val="clear" w:color="auto" w:fill="FFFFFF"/>
        <w:jc w:val="both"/>
        <w:rPr>
          <w:color w:val="000000"/>
        </w:rPr>
      </w:pPr>
      <w:r>
        <w:rPr>
          <w:color w:val="000000"/>
        </w:rPr>
        <w:t> </w:t>
      </w:r>
    </w:p>
    <w:p w14:paraId="0000016F" w14:textId="77777777" w:rsidR="00270AD8" w:rsidRDefault="007E7E54">
      <w:pPr>
        <w:spacing w:line="252" w:lineRule="auto"/>
        <w:rPr>
          <w:rFonts w:ascii="Arial" w:eastAsia="Arial" w:hAnsi="Arial" w:cs="Arial"/>
          <w:color w:val="808080"/>
          <w:sz w:val="16"/>
          <w:szCs w:val="16"/>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en España, antes Schibsted Spain, cuenta con una plantilla de 1.100 empleados. Además de en España,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12 países más de Europa y América Latina. El conjunto de sus plataformas locales recibe un promedio de 1.500 millones de visitas cada mes. Más información en </w:t>
      </w:r>
      <w:hyperlink r:id="rId15">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00000170" w14:textId="77777777" w:rsidR="00270AD8" w:rsidRDefault="007E7E54">
      <w:pPr>
        <w:spacing w:line="252" w:lineRule="auto"/>
        <w:rPr>
          <w:rFonts w:ascii="Arial" w:eastAsia="Arial" w:hAnsi="Arial" w:cs="Arial"/>
          <w:sz w:val="20"/>
          <w:szCs w:val="20"/>
        </w:rPr>
      </w:pPr>
      <w:r>
        <w:rPr>
          <w:rFonts w:ascii="Arial" w:eastAsia="Arial" w:hAnsi="Arial" w:cs="Arial"/>
          <w:sz w:val="16"/>
          <w:szCs w:val="16"/>
        </w:rPr>
        <w:t xml:space="preserve">    </w:t>
      </w:r>
    </w:p>
    <w:p w14:paraId="00000171" w14:textId="77777777" w:rsidR="00270AD8" w:rsidRDefault="007E7E54">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00000172" w14:textId="77777777" w:rsidR="00270AD8" w:rsidRDefault="007E7E54">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00000173" w14:textId="77777777" w:rsidR="00270AD8" w:rsidRDefault="007F0DDE">
      <w:pPr>
        <w:jc w:val="both"/>
        <w:rPr>
          <w:rFonts w:ascii="Arial" w:eastAsia="Arial" w:hAnsi="Arial" w:cs="Arial"/>
          <w:color w:val="7F7F7F"/>
          <w:sz w:val="18"/>
          <w:szCs w:val="18"/>
        </w:rPr>
      </w:pPr>
      <w:hyperlink r:id="rId16">
        <w:r w:rsidR="007E7E54">
          <w:rPr>
            <w:rFonts w:ascii="Arial" w:eastAsia="Arial" w:hAnsi="Arial" w:cs="Arial"/>
            <w:b/>
            <w:color w:val="0070C0"/>
            <w:sz w:val="18"/>
            <w:szCs w:val="18"/>
          </w:rPr>
          <w:t>prensa@infojobs.net</w:t>
        </w:r>
      </w:hyperlink>
      <w:r w:rsidR="007E7E54">
        <w:rPr>
          <w:rFonts w:ascii="Arial" w:eastAsia="Arial" w:hAnsi="Arial" w:cs="Arial"/>
          <w:color w:val="4F81BD"/>
          <w:sz w:val="18"/>
          <w:szCs w:val="18"/>
        </w:rPr>
        <w:tab/>
      </w:r>
      <w:r w:rsidR="007E7E54">
        <w:rPr>
          <w:rFonts w:ascii="Arial" w:eastAsia="Arial" w:hAnsi="Arial" w:cs="Arial"/>
          <w:color w:val="4F81BD"/>
          <w:sz w:val="18"/>
          <w:szCs w:val="18"/>
        </w:rPr>
        <w:tab/>
      </w:r>
      <w:r w:rsidR="007E7E54">
        <w:rPr>
          <w:rFonts w:ascii="Arial" w:eastAsia="Arial" w:hAnsi="Arial" w:cs="Arial"/>
          <w:color w:val="4F81BD"/>
          <w:sz w:val="18"/>
          <w:szCs w:val="18"/>
        </w:rPr>
        <w:tab/>
      </w:r>
      <w:r w:rsidR="007E7E54">
        <w:rPr>
          <w:rFonts w:ascii="Arial" w:eastAsia="Arial" w:hAnsi="Arial" w:cs="Arial"/>
          <w:color w:val="4F81BD"/>
          <w:sz w:val="18"/>
          <w:szCs w:val="18"/>
        </w:rPr>
        <w:tab/>
        <w:t xml:space="preserve"> </w:t>
      </w:r>
      <w:r w:rsidR="007E7E54">
        <w:rPr>
          <w:rFonts w:ascii="Arial" w:eastAsia="Arial" w:hAnsi="Arial" w:cs="Arial"/>
          <w:color w:val="4F81BD"/>
          <w:sz w:val="18"/>
          <w:szCs w:val="18"/>
        </w:rPr>
        <w:tab/>
        <w:t xml:space="preserve"> </w:t>
      </w:r>
      <w:hyperlink r:id="rId17">
        <w:r w:rsidR="007E7E54">
          <w:rPr>
            <w:rFonts w:ascii="Arial" w:eastAsia="Arial" w:hAnsi="Arial" w:cs="Arial"/>
            <w:b/>
            <w:color w:val="0070C0"/>
            <w:sz w:val="18"/>
            <w:szCs w:val="18"/>
          </w:rPr>
          <w:t>infojobs@evercom.es</w:t>
        </w:r>
      </w:hyperlink>
      <w:r w:rsidR="007E7E54">
        <w:rPr>
          <w:rFonts w:ascii="Arial" w:eastAsia="Arial" w:hAnsi="Arial" w:cs="Arial"/>
          <w:color w:val="0070C0"/>
          <w:sz w:val="18"/>
          <w:szCs w:val="18"/>
        </w:rPr>
        <w:t xml:space="preserve">  </w:t>
      </w:r>
    </w:p>
    <w:p w14:paraId="00000174" w14:textId="77777777" w:rsidR="00270AD8" w:rsidRDefault="007E7E5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00000175" w14:textId="77777777" w:rsidR="00270AD8" w:rsidRDefault="00270AD8">
      <w:pPr>
        <w:spacing w:line="360" w:lineRule="auto"/>
        <w:ind w:hanging="2"/>
        <w:jc w:val="both"/>
        <w:rPr>
          <w:rFonts w:ascii="Arial" w:eastAsia="Arial" w:hAnsi="Arial" w:cs="Arial"/>
          <w:sz w:val="20"/>
          <w:szCs w:val="20"/>
          <w:highlight w:val="white"/>
        </w:rPr>
      </w:pPr>
    </w:p>
    <w:sectPr w:rsidR="00270AD8">
      <w:headerReference w:type="even" r:id="rId18"/>
      <w:headerReference w:type="default" r:id="rId19"/>
      <w:footerReference w:type="even" r:id="rId20"/>
      <w:footerReference w:type="default" r:id="rId21"/>
      <w:headerReference w:type="first" r:id="rId22"/>
      <w:footerReference w:type="first" r:id="rId23"/>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06D4" w14:textId="77777777" w:rsidR="00B90A4D" w:rsidRDefault="007E7E54">
      <w:r>
        <w:separator/>
      </w:r>
    </w:p>
  </w:endnote>
  <w:endnote w:type="continuationSeparator" w:id="0">
    <w:p w14:paraId="3BEFC899" w14:textId="77777777" w:rsidR="00B90A4D" w:rsidRDefault="007E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77777777" w:rsidR="00270AD8" w:rsidRDefault="00270AD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D" w14:textId="77777777" w:rsidR="00270AD8" w:rsidRDefault="00270AD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C" w14:textId="77777777" w:rsidR="00270AD8" w:rsidRDefault="00270A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FEB2F" w14:textId="77777777" w:rsidR="00B90A4D" w:rsidRDefault="007E7E54">
      <w:r>
        <w:separator/>
      </w:r>
    </w:p>
  </w:footnote>
  <w:footnote w:type="continuationSeparator" w:id="0">
    <w:p w14:paraId="3ADC1162" w14:textId="77777777" w:rsidR="00B90A4D" w:rsidRDefault="007E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270AD8" w:rsidRDefault="00270AD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6" w14:textId="77777777" w:rsidR="00270AD8" w:rsidRDefault="007E7E54">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74738D7A" wp14:editId="10076AE6">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Pr>
        <w:rFonts w:ascii="Arial" w:eastAsia="Arial" w:hAnsi="Arial" w:cs="Arial"/>
        <w:color w:val="919191"/>
      </w:rPr>
      <w:t>Análisis de Indicadores InfoJobs noviembre 2020</w:t>
    </w:r>
    <w:r>
      <w:rPr>
        <w:noProof/>
      </w:rPr>
      <w:drawing>
        <wp:anchor distT="0" distB="0" distL="114300" distR="114300" simplePos="0" relativeHeight="251659264" behindDoc="0" locked="0" layoutInCell="1" hidden="0" allowOverlap="1" wp14:anchorId="079CAA7D" wp14:editId="204521FA">
          <wp:simplePos x="0" y="0"/>
          <wp:positionH relativeFrom="column">
            <wp:posOffset>-558157</wp:posOffset>
          </wp:positionH>
          <wp:positionV relativeFrom="paragraph">
            <wp:posOffset>-164457</wp:posOffset>
          </wp:positionV>
          <wp:extent cx="1133475" cy="361950"/>
          <wp:effectExtent l="0" t="0" r="0" b="0"/>
          <wp:wrapSquare wrapText="bothSides" distT="0" distB="0" distL="114300" distR="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14:paraId="00000177" w14:textId="77777777" w:rsidR="00270AD8" w:rsidRDefault="00270AD8">
    <w:pPr>
      <w:pBdr>
        <w:top w:val="nil"/>
        <w:left w:val="nil"/>
        <w:bottom w:val="nil"/>
        <w:right w:val="nil"/>
        <w:between w:val="nil"/>
      </w:pBdr>
      <w:tabs>
        <w:tab w:val="right" w:pos="9020"/>
        <w:tab w:val="center" w:pos="4819"/>
        <w:tab w:val="right" w:pos="9638"/>
      </w:tabs>
      <w:rPr>
        <w:rFonts w:ascii="Arial" w:eastAsia="Arial" w:hAnsi="Arial" w:cs="Arial"/>
        <w:color w:val="919191"/>
        <w:sz w:val="28"/>
        <w:szCs w:val="28"/>
      </w:rPr>
    </w:pPr>
  </w:p>
  <w:p w14:paraId="00000178" w14:textId="77777777" w:rsidR="00270AD8" w:rsidRDefault="00270AD8">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77777777" w:rsidR="00270AD8" w:rsidRDefault="00270AD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97B"/>
    <w:multiLevelType w:val="multilevel"/>
    <w:tmpl w:val="C8027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D8"/>
    <w:rsid w:val="002110EA"/>
    <w:rsid w:val="00270AD8"/>
    <w:rsid w:val="005F0C6A"/>
    <w:rsid w:val="007E7E54"/>
    <w:rsid w:val="007F0DDE"/>
    <w:rsid w:val="00B90A4D"/>
    <w:rsid w:val="00D97956"/>
    <w:rsid w:val="00F00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8E11"/>
  <w15:docId w15:val="{4A32B3D6-A74F-45A4-ACC2-25530DDF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9">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character" w:styleId="Refdenotaalpie">
    <w:name w:val="footnote reference"/>
    <w:uiPriority w:val="99"/>
    <w:semiHidden/>
    <w:rsid w:val="003007DD"/>
    <w:rPr>
      <w:rFonts w:cs="Times New Roman"/>
      <w:vertAlign w:val="superscript"/>
    </w:rPr>
  </w:style>
  <w:style w:type="table" w:customStyle="1" w:styleId="a1">
    <w:basedOn w:val="TableNormal1"/>
    <w:tblPr>
      <w:tblStyleRowBandSize w:val="1"/>
      <w:tblStyleColBandSize w:val="1"/>
      <w:tblCellMar>
        <w:left w:w="70" w:type="dxa"/>
        <w:right w:w="70" w:type="dxa"/>
      </w:tblCellMar>
    </w:tblPr>
  </w:style>
  <w:style w:type="character" w:styleId="Textoennegrita">
    <w:name w:val="Strong"/>
    <w:basedOn w:val="Fuentedeprrafopredeter"/>
    <w:uiPriority w:val="22"/>
    <w:qFormat/>
    <w:rsid w:val="00A50628"/>
    <w:rPr>
      <w:b/>
      <w:bCs/>
    </w:r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coches.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mailto:infojobs@everco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cli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evinta.com/es/spain/" TargetMode="External"/><Relationship Id="rId23" Type="http://schemas.openxmlformats.org/officeDocument/2006/relationships/footer" Target="footer3.xml"/><Relationship Id="rId10" Type="http://schemas.openxmlformats.org/officeDocument/2006/relationships/hyperlink" Target="https://www.fotocasa.es/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s://motos.coches.ne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CSkHx8MH3qTK7fCceEDFOgfATg==">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1206</Words>
  <Characters>6637</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Marta Sevilla</cp:lastModifiedBy>
  <cp:revision>7</cp:revision>
  <dcterms:created xsi:type="dcterms:W3CDTF">2020-12-04T09:52:00Z</dcterms:created>
  <dcterms:modified xsi:type="dcterms:W3CDTF">2020-12-04T10:15:00Z</dcterms:modified>
</cp:coreProperties>
</file>