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B5FB"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rPr>
          <w:color w:val="919191"/>
          <w:sz w:val="24"/>
          <w:szCs w:val="24"/>
          <w:lang w:val="es-ES_tradnl"/>
        </w:rPr>
      </w:pPr>
    </w:p>
    <w:p w14:paraId="4C21603F"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0E950D06" w14:textId="4FB11915"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 xml:space="preserve">Valoración datos </w:t>
      </w:r>
      <w:r w:rsidR="00A52A37">
        <w:rPr>
          <w:color w:val="919191"/>
          <w:sz w:val="22"/>
          <w:szCs w:val="22"/>
          <w:lang w:val="es-ES_tradnl"/>
        </w:rPr>
        <w:t xml:space="preserve">del SEPE </w:t>
      </w:r>
      <w:r w:rsidR="00036C21">
        <w:rPr>
          <w:color w:val="919191"/>
          <w:sz w:val="22"/>
          <w:szCs w:val="22"/>
          <w:lang w:val="es-ES_tradnl"/>
        </w:rPr>
        <w:t>noviembre</w:t>
      </w:r>
      <w:r w:rsidR="00A52A37">
        <w:rPr>
          <w:color w:val="919191"/>
          <w:sz w:val="22"/>
          <w:szCs w:val="22"/>
          <w:lang w:val="es-ES_tradnl"/>
        </w:rPr>
        <w:t xml:space="preserve"> </w:t>
      </w:r>
      <w:r w:rsidRPr="00042746">
        <w:rPr>
          <w:color w:val="919191"/>
          <w:sz w:val="22"/>
          <w:szCs w:val="22"/>
          <w:lang w:val="es-ES_tradnl"/>
        </w:rPr>
        <w:t>de 2020</w:t>
      </w:r>
    </w:p>
    <w:p w14:paraId="38DB17E3" w14:textId="77777777" w:rsidR="007E04D2" w:rsidRPr="007E04D2" w:rsidRDefault="007E04D2"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10"/>
          <w:szCs w:val="10"/>
          <w:lang w:val="es-ES_tradnl"/>
        </w:rPr>
      </w:pPr>
    </w:p>
    <w:p w14:paraId="4BCE4E17" w14:textId="12F8422C" w:rsidR="00247AB7" w:rsidRPr="00247AB7" w:rsidRDefault="00247AB7" w:rsidP="00247AB7">
      <w:pPr>
        <w:jc w:val="center"/>
        <w:rPr>
          <w:rFonts w:ascii="Arial" w:eastAsia="Arial Unicode MS" w:hAnsi="Arial" w:cs="Arial Unicode MS"/>
          <w:color w:val="0070C0"/>
          <w:sz w:val="50"/>
          <w:szCs w:val="50"/>
          <w:u w:color="27AAE1"/>
          <w:bdr w:val="nil"/>
          <w:lang w:eastAsia="es-ES"/>
        </w:rPr>
      </w:pPr>
      <w:r w:rsidRPr="00247AB7">
        <w:rPr>
          <w:rFonts w:ascii="Arial" w:eastAsia="Arial Unicode MS" w:hAnsi="Arial" w:cs="Arial Unicode MS"/>
          <w:color w:val="0070C0"/>
          <w:sz w:val="50"/>
          <w:szCs w:val="50"/>
          <w:u w:color="27AAE1"/>
          <w:bdr w:val="nil"/>
          <w:lang w:eastAsia="es-ES"/>
        </w:rPr>
        <w:t>Del ERTE al ERE: ¿Cuántos de los 750.000 trabajadores en ERTE volverán permanentemente al trabajo?</w:t>
      </w:r>
    </w:p>
    <w:p w14:paraId="08C46A72" w14:textId="77777777" w:rsidR="007E04D2" w:rsidRPr="007E04D2" w:rsidRDefault="007E04D2" w:rsidP="00F06CB7">
      <w:pPr>
        <w:spacing w:before="100" w:beforeAutospacing="1" w:after="100" w:afterAutospacing="1"/>
        <w:jc w:val="center"/>
        <w:rPr>
          <w:rFonts w:ascii="Arial" w:eastAsia="Arial Unicode MS" w:hAnsi="Arial" w:cs="Arial Unicode MS"/>
          <w:color w:val="0070C0"/>
          <w:sz w:val="12"/>
          <w:szCs w:val="12"/>
          <w:u w:color="27AAE1"/>
          <w:bdr w:val="nil"/>
          <w:lang w:eastAsia="es-ES"/>
        </w:rPr>
      </w:pPr>
    </w:p>
    <w:p w14:paraId="6130CC5B" w14:textId="029521A2" w:rsidR="008A61C7" w:rsidRDefault="008E0D95" w:rsidP="008A61C7">
      <w:pPr>
        <w:spacing w:before="100" w:beforeAutospacing="1" w:after="100" w:afterAutospacing="1"/>
        <w:rPr>
          <w:sz w:val="24"/>
        </w:rPr>
      </w:pPr>
      <w:r w:rsidRPr="00714276">
        <w:rPr>
          <w:rFonts w:ascii="Arial" w:hAnsi="Arial" w:cs="Arial"/>
          <w:b/>
          <w:bCs/>
          <w:sz w:val="20"/>
          <w:szCs w:val="20"/>
        </w:rPr>
        <w:t xml:space="preserve">Madrid, </w:t>
      </w:r>
      <w:r w:rsidR="00036C21">
        <w:rPr>
          <w:rFonts w:ascii="Arial" w:hAnsi="Arial" w:cs="Arial"/>
          <w:b/>
          <w:bCs/>
          <w:sz w:val="20"/>
          <w:szCs w:val="20"/>
        </w:rPr>
        <w:t>2</w:t>
      </w:r>
      <w:r w:rsidRPr="00714276">
        <w:rPr>
          <w:rFonts w:ascii="Arial" w:hAnsi="Arial" w:cs="Arial"/>
          <w:b/>
          <w:bCs/>
          <w:sz w:val="20"/>
          <w:szCs w:val="20"/>
        </w:rPr>
        <w:t xml:space="preserve"> de </w:t>
      </w:r>
      <w:r w:rsidR="00036C21">
        <w:rPr>
          <w:rFonts w:ascii="Arial" w:hAnsi="Arial" w:cs="Arial"/>
          <w:b/>
          <w:bCs/>
          <w:sz w:val="20"/>
          <w:szCs w:val="20"/>
        </w:rPr>
        <w:t>diciembre</w:t>
      </w:r>
      <w:r w:rsidR="00A52A37">
        <w:rPr>
          <w:rFonts w:ascii="Arial" w:hAnsi="Arial" w:cs="Arial"/>
          <w:b/>
          <w:bCs/>
          <w:sz w:val="20"/>
          <w:szCs w:val="20"/>
        </w:rPr>
        <w:t xml:space="preserve"> </w:t>
      </w:r>
      <w:r w:rsidRPr="00714276">
        <w:rPr>
          <w:rFonts w:ascii="Arial" w:hAnsi="Arial" w:cs="Arial"/>
          <w:b/>
          <w:bCs/>
          <w:sz w:val="20"/>
          <w:szCs w:val="20"/>
        </w:rPr>
        <w:t>2020</w:t>
      </w:r>
      <w:r w:rsidRPr="008E0D95">
        <w:rPr>
          <w:rFonts w:ascii="Arial" w:hAnsi="Arial" w:cs="Arial"/>
          <w:sz w:val="20"/>
          <w:szCs w:val="20"/>
        </w:rPr>
        <w:t>.-</w:t>
      </w:r>
      <w:r w:rsidRPr="007E04D2">
        <w:rPr>
          <w:rFonts w:ascii="Arial" w:hAnsi="Arial" w:cs="Arial"/>
          <w:sz w:val="20"/>
          <w:szCs w:val="20"/>
        </w:rPr>
        <w:t xml:space="preserve"> </w:t>
      </w:r>
      <w:r w:rsidR="008A61C7">
        <w:rPr>
          <w:sz w:val="24"/>
        </w:rPr>
        <w:t xml:space="preserve">El mes de noviembre ha mantenido en relación con el empleo la tendencia de los últimos meses: se sigue creando empleo, con 31.638 cotizantes más que los que había en octubre, aunque la cifra de desempleados inscritos en las oficinas de empleo se mantiene por encima de los 3,8 millones, después de aumentar en 25.269. Así lo reflejan los datos publicados hoy por el ministerio de Trabajo. </w:t>
      </w:r>
    </w:p>
    <w:p w14:paraId="281CA4F6" w14:textId="77777777" w:rsidR="008A61C7" w:rsidRDefault="008A61C7" w:rsidP="008A61C7">
      <w:pPr>
        <w:spacing w:before="100" w:beforeAutospacing="1" w:after="100" w:afterAutospacing="1"/>
        <w:rPr>
          <w:sz w:val="24"/>
        </w:rPr>
      </w:pPr>
      <w:r>
        <w:rPr>
          <w:sz w:val="24"/>
        </w:rPr>
        <w:t xml:space="preserve">Pero la estadística de este mes trae también una novedad a la que conviene prestar atención. Se trata de los nuevos ERTE de limitación y ERTE de impedimento, que se pusieron en marcha en octubre y que por primera vez tienen datos que dan la medida de su alcance. Así, al finalizar noviembre hay en España casi 750.000 personas afectadas por un ERTE, de las cuales casi 80.000 lo están por ERTE de impedimento y 117.000 en ERTE de limitación. </w:t>
      </w:r>
    </w:p>
    <w:p w14:paraId="6DF14C67" w14:textId="77777777" w:rsidR="008A61C7" w:rsidRDefault="008A61C7" w:rsidP="008A61C7">
      <w:pPr>
        <w:spacing w:before="100" w:beforeAutospacing="1" w:after="100" w:afterAutospacing="1"/>
        <w:rPr>
          <w:sz w:val="24"/>
        </w:rPr>
      </w:pPr>
      <w:r>
        <w:rPr>
          <w:sz w:val="24"/>
        </w:rPr>
        <w:t xml:space="preserve">En cualquier caso, y con la mirada ya puesta en el año 2021, los ERTE serán una de las claves que habrá que observar de cerca. Tras el fuerte impacto que la pandemia tuvo sobre el empleo durante el confinamiento desde marzo hasta mayo, la tendencia posterior ha sido de progresiva, aunque desigual, recuperación. En todo este tiempo, el gobierno ha apostado por la protección de los ERTE para evitar la destrucción permanente de empleo. </w:t>
      </w:r>
    </w:p>
    <w:p w14:paraId="5D0CFFDB" w14:textId="77777777" w:rsidR="008A61C7" w:rsidRDefault="008A61C7" w:rsidP="008A61C7">
      <w:pPr>
        <w:spacing w:before="100" w:beforeAutospacing="1" w:after="100" w:afterAutospacing="1"/>
        <w:rPr>
          <w:sz w:val="24"/>
        </w:rPr>
      </w:pPr>
      <w:r>
        <w:rPr>
          <w:sz w:val="24"/>
        </w:rPr>
        <w:t xml:space="preserve">A medida que se avanza hacia la administración de la vacuna, más cerca estamos de poder evaluar si fue una decisión acertada. El tiempo dirá, a medida que avance el próximo año, si tras los ERTE viene la reincorporación permanente o si las empresas optan por despedir una vez que hayan pasado los seis meses de mantenimiento del empleo a los que están obligadas después del ERTE. </w:t>
      </w:r>
    </w:p>
    <w:p w14:paraId="56C058E3" w14:textId="77777777" w:rsidR="008A61C7" w:rsidRDefault="008A61C7" w:rsidP="008A61C7">
      <w:pPr>
        <w:spacing w:before="100" w:beforeAutospacing="1" w:after="100" w:afterAutospacing="1"/>
        <w:rPr>
          <w:sz w:val="24"/>
        </w:rPr>
      </w:pPr>
      <w:r>
        <w:rPr>
          <w:sz w:val="24"/>
        </w:rPr>
        <w:t xml:space="preserve">Los cambios, de mes en mes, de la cifra de trabajadores afectados por ERTE es el reflejo de los vaivenes de la evolución de la pandemia. Así, los de noviembre, responden a las restricciones que muchas autonomías impusieron durante el pasado </w:t>
      </w:r>
      <w:r>
        <w:rPr>
          <w:sz w:val="24"/>
        </w:rPr>
        <w:lastRenderedPageBreak/>
        <w:t xml:space="preserve">mes para tratar de frenar la segunda ola. Pero, para que las positivas previsiones oficiales para 2021 —después del desplome de 2020, la OCDE auguraba ayer un crecimiento económico de España del 5 %— se hagan realidad, hace falta que los ERTE sepan acabar en reincorporaciones permanentes. </w:t>
      </w:r>
    </w:p>
    <w:p w14:paraId="6C4CD45C" w14:textId="2C1EDE9F" w:rsidR="002B1910" w:rsidRPr="002B1910" w:rsidRDefault="002B1910" w:rsidP="00036C21">
      <w:pPr>
        <w:spacing w:before="100" w:beforeAutospacing="1" w:after="100" w:afterAutospacing="1"/>
        <w:rPr>
          <w:rFonts w:ascii="Arial" w:hAnsi="Arial" w:cs="Arial"/>
          <w:sz w:val="20"/>
          <w:szCs w:val="20"/>
        </w:rPr>
      </w:pPr>
    </w:p>
    <w:p w14:paraId="0E922292" w14:textId="77777777" w:rsidR="00036C21" w:rsidRDefault="00036C21" w:rsidP="00036C21">
      <w:pPr>
        <w:spacing w:line="360" w:lineRule="auto"/>
        <w:rPr>
          <w:rFonts w:ascii="Arial" w:eastAsia="Arial" w:hAnsi="Arial" w:cs="Arial"/>
          <w:color w:val="808080"/>
          <w:sz w:val="16"/>
          <w:szCs w:val="16"/>
          <w:u w:val="single"/>
        </w:rPr>
      </w:pPr>
      <w:r>
        <w:rPr>
          <w:rFonts w:ascii="Arial" w:eastAsia="Arial" w:hAnsi="Arial" w:cs="Arial"/>
          <w:color w:val="808080"/>
          <w:sz w:val="16"/>
          <w:szCs w:val="16"/>
          <w:u w:val="single"/>
        </w:rPr>
        <w:t>Sobre InfoJobs</w:t>
      </w:r>
    </w:p>
    <w:p w14:paraId="1744FDA7" w14:textId="77777777" w:rsidR="00036C21" w:rsidRDefault="00036C21" w:rsidP="00036C21">
      <w:pPr>
        <w:pBdr>
          <w:top w:val="nil"/>
          <w:left w:val="nil"/>
          <w:bottom w:val="nil"/>
          <w:right w:val="nil"/>
          <w:between w:val="nil"/>
        </w:pBdr>
        <w:rPr>
          <w:color w:val="000000"/>
        </w:rPr>
      </w:pPr>
      <w:r>
        <w:rPr>
          <w:rFonts w:ascii="Arial" w:eastAsia="Arial" w:hAnsi="Arial" w:cs="Arial"/>
          <w:color w:val="808080"/>
          <w:sz w:val="16"/>
          <w:szCs w:val="16"/>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w:t>
      </w:r>
      <w:proofErr w:type="spellStart"/>
      <w:r>
        <w:rPr>
          <w:rFonts w:ascii="Arial" w:eastAsia="Arial" w:hAnsi="Arial" w:cs="Arial"/>
          <w:color w:val="808080"/>
          <w:sz w:val="16"/>
          <w:szCs w:val="16"/>
        </w:rPr>
        <w:t>Analytics</w:t>
      </w:r>
      <w:proofErr w:type="spellEnd"/>
      <w:r>
        <w:rPr>
          <w:rFonts w:ascii="Arial" w:eastAsia="Arial" w:hAnsi="Arial" w:cs="Arial"/>
          <w:color w:val="808080"/>
          <w:sz w:val="16"/>
          <w:szCs w:val="16"/>
        </w:rPr>
        <w:t xml:space="preserve"> 2019).</w:t>
      </w:r>
    </w:p>
    <w:p w14:paraId="4CC3B580" w14:textId="77777777" w:rsidR="00036C21" w:rsidRDefault="00036C21" w:rsidP="00036C21"/>
    <w:p w14:paraId="0B16D46F" w14:textId="77777777" w:rsidR="00036C21" w:rsidRDefault="00036C21" w:rsidP="00036C21">
      <w:pPr>
        <w:pBdr>
          <w:top w:val="nil"/>
          <w:left w:val="nil"/>
          <w:bottom w:val="nil"/>
          <w:right w:val="nil"/>
          <w:between w:val="nil"/>
        </w:pBdr>
        <w:shd w:val="clear" w:color="auto" w:fill="FFFFFF"/>
        <w:rPr>
          <w:color w:val="000000"/>
        </w:rPr>
      </w:pPr>
      <w:r>
        <w:rPr>
          <w:rFonts w:ascii="Arial" w:eastAsia="Arial" w:hAnsi="Arial" w:cs="Arial"/>
          <w:color w:val="808080"/>
          <w:sz w:val="16"/>
          <w:szCs w:val="16"/>
        </w:rPr>
        <w:t xml:space="preserve">InfoJobs pertenece 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una compañía líder en </w:t>
      </w:r>
      <w:proofErr w:type="spellStart"/>
      <w:r>
        <w:rPr>
          <w:rFonts w:ascii="Arial" w:eastAsia="Arial" w:hAnsi="Arial" w:cs="Arial"/>
          <w:color w:val="808080"/>
          <w:sz w:val="16"/>
          <w:szCs w:val="16"/>
        </w:rPr>
        <w:t>marketplaces</w:t>
      </w:r>
      <w:proofErr w:type="spellEnd"/>
      <w:r>
        <w:rPr>
          <w:rFonts w:ascii="Arial" w:eastAsia="Arial" w:hAnsi="Arial" w:cs="Arial"/>
          <w:color w:val="808080"/>
          <w:sz w:val="16"/>
          <w:szCs w:val="16"/>
        </w:rPr>
        <w:t xml:space="preserve"> digitales y una de las principales empresas del sector tecnológico del país, con más de 18 millones de usuarios al mes en sus plataformas de los sectores inmobiliario (</w:t>
      </w:r>
      <w:hyperlink r:id="rId8">
        <w:r>
          <w:rPr>
            <w:rFonts w:ascii="Arial" w:eastAsia="Arial" w:hAnsi="Arial" w:cs="Arial"/>
            <w:color w:val="808080"/>
            <w:sz w:val="16"/>
            <w:szCs w:val="16"/>
            <w:u w:val="single"/>
          </w:rPr>
          <w:t>Fotocasa</w:t>
        </w:r>
      </w:hyperlink>
      <w:r>
        <w:rPr>
          <w:rFonts w:ascii="Arial" w:eastAsia="Arial" w:hAnsi="Arial" w:cs="Arial"/>
          <w:color w:val="808080"/>
          <w:sz w:val="16"/>
          <w:szCs w:val="16"/>
        </w:rPr>
        <w:t xml:space="preserve"> y </w:t>
      </w:r>
      <w:hyperlink r:id="rId9">
        <w:proofErr w:type="spellStart"/>
        <w:r>
          <w:rPr>
            <w:rFonts w:ascii="Arial" w:eastAsia="Arial" w:hAnsi="Arial" w:cs="Arial"/>
            <w:color w:val="808080"/>
            <w:sz w:val="16"/>
            <w:szCs w:val="16"/>
            <w:u w:val="single"/>
          </w:rPr>
          <w:t>habitaclia</w:t>
        </w:r>
        <w:proofErr w:type="spellEnd"/>
      </w:hyperlink>
      <w:r>
        <w:rPr>
          <w:rFonts w:ascii="Arial" w:eastAsia="Arial" w:hAnsi="Arial" w:cs="Arial"/>
          <w:color w:val="808080"/>
          <w:sz w:val="16"/>
          <w:szCs w:val="16"/>
        </w:rPr>
        <w:t>), empleo (</w:t>
      </w:r>
      <w:hyperlink r:id="rId10">
        <w:r>
          <w:rPr>
            <w:rFonts w:ascii="Arial" w:eastAsia="Arial" w:hAnsi="Arial" w:cs="Arial"/>
            <w:color w:val="808080"/>
            <w:sz w:val="16"/>
            <w:szCs w:val="16"/>
            <w:u w:val="single"/>
          </w:rPr>
          <w:t>InfoJobs</w:t>
        </w:r>
      </w:hyperlink>
      <w:r>
        <w:rPr>
          <w:rFonts w:ascii="Arial" w:eastAsia="Arial" w:hAnsi="Arial" w:cs="Arial"/>
          <w:color w:val="808080"/>
          <w:sz w:val="16"/>
          <w:szCs w:val="16"/>
        </w:rPr>
        <w:t>), motor (</w:t>
      </w:r>
      <w:hyperlink r:id="rId11">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2">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segunda mano (</w:t>
      </w:r>
      <w:proofErr w:type="spellStart"/>
      <w:r>
        <w:fldChar w:fldCharType="begin"/>
      </w:r>
      <w:r>
        <w:instrText xml:space="preserve"> HYPERLINK "https://www.milanuncios.com/" \h </w:instrText>
      </w:r>
      <w:r>
        <w:fldChar w:fldCharType="separate"/>
      </w:r>
      <w:r>
        <w:rPr>
          <w:rFonts w:ascii="Arial" w:eastAsia="Arial" w:hAnsi="Arial" w:cs="Arial"/>
          <w:color w:val="808080"/>
          <w:sz w:val="16"/>
          <w:szCs w:val="16"/>
          <w:u w:val="single"/>
        </w:rPr>
        <w:t>Milanuncios</w:t>
      </w:r>
      <w:proofErr w:type="spellEnd"/>
      <w:r>
        <w:rPr>
          <w:rFonts w:ascii="Arial" w:eastAsia="Arial" w:hAnsi="Arial" w:cs="Arial"/>
          <w:color w:val="808080"/>
          <w:sz w:val="16"/>
          <w:szCs w:val="16"/>
          <w:u w:val="single"/>
        </w:rPr>
        <w:fldChar w:fldCharType="end"/>
      </w:r>
      <w:r>
        <w:rPr>
          <w:rFonts w:ascii="Arial" w:eastAsia="Arial" w:hAnsi="Arial" w:cs="Arial"/>
          <w:color w:val="808080"/>
          <w:sz w:val="16"/>
          <w:szCs w:val="16"/>
        </w:rPr>
        <w:t>).</w:t>
      </w:r>
    </w:p>
    <w:p w14:paraId="05E04D24" w14:textId="77777777" w:rsidR="00036C21" w:rsidRDefault="00036C21" w:rsidP="00036C21">
      <w:pPr>
        <w:pBdr>
          <w:top w:val="nil"/>
          <w:left w:val="nil"/>
          <w:bottom w:val="nil"/>
          <w:right w:val="nil"/>
          <w:between w:val="nil"/>
        </w:pBdr>
        <w:shd w:val="clear" w:color="auto" w:fill="FFFFFF"/>
        <w:rPr>
          <w:color w:val="000000"/>
        </w:rPr>
      </w:pPr>
      <w:r>
        <w:rPr>
          <w:color w:val="000000"/>
        </w:rPr>
        <w:t> </w:t>
      </w:r>
    </w:p>
    <w:p w14:paraId="08FC1501" w14:textId="77777777" w:rsidR="00036C21" w:rsidRDefault="00036C21" w:rsidP="00036C21">
      <w:pPr>
        <w:spacing w:line="252" w:lineRule="auto"/>
        <w:rPr>
          <w:rFonts w:ascii="Arial" w:eastAsia="Arial" w:hAnsi="Arial" w:cs="Arial"/>
          <w:color w:val="808080"/>
          <w:sz w:val="16"/>
          <w:szCs w:val="16"/>
        </w:rPr>
      </w:pP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en España, antes Schibsted </w:t>
      </w:r>
      <w:proofErr w:type="spellStart"/>
      <w:r>
        <w:rPr>
          <w:rFonts w:ascii="Arial" w:eastAsia="Arial" w:hAnsi="Arial" w:cs="Arial"/>
          <w:color w:val="808080"/>
          <w:sz w:val="16"/>
          <w:szCs w:val="16"/>
        </w:rPr>
        <w:t>Spain</w:t>
      </w:r>
      <w:proofErr w:type="spellEnd"/>
      <w:r>
        <w:rPr>
          <w:rFonts w:ascii="Arial" w:eastAsia="Arial" w:hAnsi="Arial" w:cs="Arial"/>
          <w:color w:val="808080"/>
          <w:sz w:val="16"/>
          <w:szCs w:val="16"/>
        </w:rPr>
        <w:t xml:space="preserve">, cuenta con una plantilla de 1.100 empleados. Además de en España, </w:t>
      </w:r>
      <w:proofErr w:type="spellStart"/>
      <w:r>
        <w:rPr>
          <w:rFonts w:ascii="Arial" w:eastAsia="Arial" w:hAnsi="Arial" w:cs="Arial"/>
          <w:color w:val="808080"/>
          <w:sz w:val="16"/>
          <w:szCs w:val="16"/>
        </w:rPr>
        <w:t>Adevinta</w:t>
      </w:r>
      <w:proofErr w:type="spellEnd"/>
      <w:r>
        <w:rPr>
          <w:rFonts w:ascii="Arial" w:eastAsia="Arial" w:hAnsi="Arial" w:cs="Arial"/>
          <w:color w:val="808080"/>
          <w:sz w:val="16"/>
          <w:szCs w:val="16"/>
        </w:rPr>
        <w:t xml:space="preserve"> tiene presencia en 12 países más de Europa y América Latina. El conjunto de sus plataformas locales recibe un promedio de 1.500 millones de visitas cada mes. Más información en </w:t>
      </w:r>
      <w:hyperlink r:id="rId13">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14:paraId="49BE804F" w14:textId="77777777" w:rsidR="00036C21" w:rsidRDefault="00036C21" w:rsidP="00036C21">
      <w:pPr>
        <w:spacing w:line="252" w:lineRule="auto"/>
        <w:rPr>
          <w:rFonts w:ascii="Arial" w:eastAsia="Arial" w:hAnsi="Arial" w:cs="Arial"/>
          <w:sz w:val="20"/>
          <w:szCs w:val="20"/>
        </w:rPr>
      </w:pPr>
      <w:r>
        <w:rPr>
          <w:rFonts w:ascii="Arial" w:eastAsia="Arial" w:hAnsi="Arial" w:cs="Arial"/>
          <w:sz w:val="16"/>
          <w:szCs w:val="16"/>
        </w:rPr>
        <w:t xml:space="preserve">    </w:t>
      </w:r>
    </w:p>
    <w:p w14:paraId="2C4D3257" w14:textId="77777777" w:rsidR="00036C21" w:rsidRDefault="00036C21" w:rsidP="00036C21">
      <w:pPr>
        <w:spacing w:line="360" w:lineRule="auto"/>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2890ECB4" w14:textId="3AB2F303" w:rsidR="00036C21" w:rsidRDefault="00036C21" w:rsidP="00036C21">
      <w:pPr>
        <w:pBdr>
          <w:top w:val="nil"/>
          <w:left w:val="nil"/>
          <w:bottom w:val="nil"/>
          <w:right w:val="nil"/>
          <w:between w:val="nil"/>
        </w:pBdr>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proofErr w:type="gramStart"/>
      <w:r>
        <w:rPr>
          <w:rFonts w:ascii="Arial" w:eastAsia="Arial" w:hAnsi="Arial" w:cs="Arial"/>
          <w:color w:val="808080"/>
          <w:sz w:val="18"/>
          <w:szCs w:val="18"/>
        </w:rPr>
        <w:tab/>
        <w:t xml:space="preserve">  </w:t>
      </w:r>
      <w:r>
        <w:rPr>
          <w:rFonts w:ascii="Arial" w:eastAsia="Arial" w:hAnsi="Arial" w:cs="Arial"/>
          <w:color w:val="808080"/>
          <w:sz w:val="18"/>
          <w:szCs w:val="18"/>
        </w:rPr>
        <w:tab/>
      </w:r>
      <w:proofErr w:type="gramEnd"/>
      <w:r>
        <w:rPr>
          <w:rFonts w:ascii="Arial" w:eastAsia="Arial" w:hAnsi="Arial" w:cs="Arial"/>
          <w:color w:val="808080"/>
          <w:sz w:val="18"/>
          <w:szCs w:val="18"/>
        </w:rPr>
        <w:t xml:space="preserve">  </w:t>
      </w:r>
      <w:r>
        <w:rPr>
          <w:rFonts w:ascii="Arial" w:eastAsia="Arial" w:hAnsi="Arial" w:cs="Arial"/>
          <w:color w:val="808080"/>
          <w:sz w:val="18"/>
          <w:szCs w:val="18"/>
        </w:rPr>
        <w:tab/>
        <w:t xml:space="preserve"> </w:t>
      </w:r>
      <w:proofErr w:type="spellStart"/>
      <w:r>
        <w:rPr>
          <w:rFonts w:ascii="Arial" w:eastAsia="Arial" w:hAnsi="Arial" w:cs="Arial"/>
          <w:b/>
          <w:color w:val="7F7F7F"/>
          <w:sz w:val="18"/>
          <w:szCs w:val="18"/>
        </w:rPr>
        <w:t>Evercom</w:t>
      </w:r>
      <w:proofErr w:type="spellEnd"/>
      <w:r>
        <w:rPr>
          <w:rFonts w:ascii="Arial" w:eastAsia="Arial" w:hAnsi="Arial" w:cs="Arial"/>
          <w:color w:val="7F7F7F"/>
          <w:sz w:val="18"/>
          <w:szCs w:val="18"/>
        </w:rPr>
        <w:t xml:space="preserve">: Marta Sevilla / </w:t>
      </w:r>
      <w:r>
        <w:rPr>
          <w:rFonts w:ascii="Arial" w:eastAsia="Arial" w:hAnsi="Arial" w:cs="Arial"/>
          <w:color w:val="7F7F7F"/>
          <w:sz w:val="18"/>
          <w:szCs w:val="18"/>
        </w:rPr>
        <w:t>Albert Cuesta</w:t>
      </w:r>
    </w:p>
    <w:p w14:paraId="5AD5789A" w14:textId="65027E04" w:rsidR="00036C21" w:rsidRDefault="00036C21" w:rsidP="00036C21">
      <w:pPr>
        <w:rPr>
          <w:rFonts w:ascii="Arial" w:eastAsia="Arial" w:hAnsi="Arial" w:cs="Arial"/>
          <w:color w:val="7F7F7F"/>
          <w:sz w:val="18"/>
          <w:szCs w:val="18"/>
        </w:rPr>
      </w:pPr>
      <w:hyperlink r:id="rId14">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r>
      <w:r>
        <w:rPr>
          <w:rFonts w:ascii="Arial" w:eastAsia="Arial" w:hAnsi="Arial" w:cs="Arial"/>
          <w:color w:val="4F81BD"/>
          <w:sz w:val="18"/>
          <w:szCs w:val="18"/>
        </w:rPr>
        <w:t xml:space="preserve">       </w:t>
      </w:r>
      <w:r>
        <w:rPr>
          <w:rFonts w:ascii="Arial" w:eastAsia="Arial" w:hAnsi="Arial" w:cs="Arial"/>
          <w:color w:val="4F81BD"/>
          <w:sz w:val="18"/>
          <w:szCs w:val="18"/>
        </w:rPr>
        <w:t xml:space="preserve"> </w:t>
      </w:r>
      <w:r>
        <w:rPr>
          <w:rFonts w:ascii="Arial" w:eastAsia="Arial" w:hAnsi="Arial" w:cs="Arial"/>
          <w:color w:val="4F81BD"/>
          <w:sz w:val="18"/>
          <w:szCs w:val="18"/>
        </w:rPr>
        <w:t xml:space="preserve">  </w:t>
      </w:r>
      <w:hyperlink r:id="rId15" w:history="1">
        <w:r w:rsidRPr="0048269E">
          <w:rPr>
            <w:rStyle w:val="Hipervnculo"/>
            <w:rFonts w:ascii="Arial" w:eastAsia="Arial" w:hAnsi="Arial" w:cs="Arial"/>
            <w:b/>
            <w:sz w:val="18"/>
            <w:szCs w:val="18"/>
          </w:rPr>
          <w:t>infojobs@evercom.es</w:t>
        </w:r>
      </w:hyperlink>
      <w:r>
        <w:rPr>
          <w:rFonts w:ascii="Arial" w:eastAsia="Arial" w:hAnsi="Arial" w:cs="Arial"/>
          <w:color w:val="0070C0"/>
          <w:sz w:val="18"/>
          <w:szCs w:val="18"/>
        </w:rPr>
        <w:t xml:space="preserve">  </w:t>
      </w:r>
    </w:p>
    <w:p w14:paraId="4A808329" w14:textId="6DB5A0EB" w:rsidR="00036C21" w:rsidRDefault="00036C21" w:rsidP="00036C2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w:t>
      </w:r>
      <w:r>
        <w:rPr>
          <w:rFonts w:ascii="Arial" w:eastAsia="Arial" w:hAnsi="Arial" w:cs="Arial"/>
          <w:color w:val="808080"/>
          <w:sz w:val="16"/>
          <w:szCs w:val="16"/>
        </w:rPr>
        <w:t xml:space="preserve">             </w:t>
      </w:r>
      <w:r>
        <w:rPr>
          <w:rFonts w:ascii="Arial" w:eastAsia="Arial" w:hAnsi="Arial" w:cs="Arial"/>
          <w:color w:val="808080"/>
          <w:sz w:val="16"/>
          <w:szCs w:val="16"/>
        </w:rPr>
        <w:t xml:space="preserve">T. </w:t>
      </w:r>
      <w:r>
        <w:rPr>
          <w:rFonts w:ascii="Arial" w:eastAsia="Arial" w:hAnsi="Arial" w:cs="Arial"/>
          <w:color w:val="7F7F7F"/>
          <w:sz w:val="18"/>
          <w:szCs w:val="18"/>
        </w:rPr>
        <w:t>34 93 415 37 05 - 676 86 98 56</w:t>
      </w:r>
    </w:p>
    <w:p w14:paraId="73FC508C" w14:textId="76A0B6CF" w:rsidR="005213C9" w:rsidRPr="008E0D95" w:rsidRDefault="005213C9" w:rsidP="00036C21">
      <w:pPr>
        <w:textDirection w:val="btLr"/>
        <w:rPr>
          <w:rFonts w:ascii="Arial" w:hAnsi="Arial" w:cs="Arial"/>
          <w:sz w:val="20"/>
          <w:szCs w:val="20"/>
        </w:rPr>
      </w:pPr>
    </w:p>
    <w:sectPr w:rsidR="005213C9" w:rsidRPr="008E0D95">
      <w:headerReference w:type="default" r:id="rId16"/>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default"/>
  </w:font>
  <w:font w:name="Arimo">
    <w:charset w:val="00"/>
    <w:family w:val="auto"/>
    <w:pitch w:val="default"/>
  </w:font>
  <w:font w:name="OpenSymbol">
    <w:altName w:val="Cambria"/>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9D10F" w14:textId="71A471D8" w:rsidR="008E0D95" w:rsidRDefault="008E0D95">
    <w:pPr>
      <w:pStyle w:val="Encabezado"/>
    </w:pPr>
    <w:r>
      <w:rPr>
        <w:noProof/>
      </w:rPr>
      <w:drawing>
        <wp:anchor distT="0" distB="0" distL="114300" distR="114300" simplePos="0" relativeHeight="251659264" behindDoc="0" locked="0" layoutInCell="1" allowOverlap="1" wp14:anchorId="27274BCB" wp14:editId="1495ABE3">
          <wp:simplePos x="0" y="0"/>
          <wp:positionH relativeFrom="column">
            <wp:posOffset>-647700</wp:posOffset>
          </wp:positionH>
          <wp:positionV relativeFrom="paragraph">
            <wp:posOffset>161925</wp:posOffset>
          </wp:positionV>
          <wp:extent cx="1732915" cy="752475"/>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2"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36C21"/>
    <w:rsid w:val="00042746"/>
    <w:rsid w:val="00046AD9"/>
    <w:rsid w:val="00055948"/>
    <w:rsid w:val="00105739"/>
    <w:rsid w:val="0019509B"/>
    <w:rsid w:val="001C1A5A"/>
    <w:rsid w:val="001E3377"/>
    <w:rsid w:val="00206442"/>
    <w:rsid w:val="00247AB7"/>
    <w:rsid w:val="002513B3"/>
    <w:rsid w:val="00260961"/>
    <w:rsid w:val="002B1910"/>
    <w:rsid w:val="002D26E9"/>
    <w:rsid w:val="002E0CD1"/>
    <w:rsid w:val="0047055B"/>
    <w:rsid w:val="004934F7"/>
    <w:rsid w:val="005213C9"/>
    <w:rsid w:val="005B42E3"/>
    <w:rsid w:val="005D3292"/>
    <w:rsid w:val="00603FB8"/>
    <w:rsid w:val="00604F42"/>
    <w:rsid w:val="00612D90"/>
    <w:rsid w:val="00615246"/>
    <w:rsid w:val="006623BD"/>
    <w:rsid w:val="006B3FFF"/>
    <w:rsid w:val="007D4FA6"/>
    <w:rsid w:val="007E04D2"/>
    <w:rsid w:val="00846B65"/>
    <w:rsid w:val="00872D70"/>
    <w:rsid w:val="008A61C7"/>
    <w:rsid w:val="008E0D95"/>
    <w:rsid w:val="00A52A37"/>
    <w:rsid w:val="00A932AE"/>
    <w:rsid w:val="00AE358F"/>
    <w:rsid w:val="00B015ED"/>
    <w:rsid w:val="00B037B3"/>
    <w:rsid w:val="00B73C27"/>
    <w:rsid w:val="00BE4392"/>
    <w:rsid w:val="00CA2FA5"/>
    <w:rsid w:val="00D06A07"/>
    <w:rsid w:val="00D61059"/>
    <w:rsid w:val="00E324CD"/>
    <w:rsid w:val="00EA5D91"/>
    <w:rsid w:val="00ED3285"/>
    <w:rsid w:val="00F06CB7"/>
    <w:rsid w:val="00F5220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99"/>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rsid w:val="00BE4392"/>
    <w:rPr>
      <w:sz w:val="16"/>
      <w:szCs w:val="16"/>
    </w:rPr>
  </w:style>
  <w:style w:type="paragraph" w:styleId="Textocomentario">
    <w:name w:val="annotation text"/>
    <w:basedOn w:val="Normal"/>
    <w:link w:val="TextocomentarioCar"/>
    <w:rsid w:val="00BE4392"/>
    <w:rPr>
      <w:sz w:val="20"/>
      <w:szCs w:val="20"/>
    </w:rPr>
  </w:style>
  <w:style w:type="character" w:customStyle="1" w:styleId="TextocomentarioCar">
    <w:name w:val="Texto comentario Car"/>
    <w:basedOn w:val="Fuentedeprrafopredeter"/>
    <w:link w:val="Textocomentario"/>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4867">
      <w:bodyDiv w:val="1"/>
      <w:marLeft w:val="0"/>
      <w:marRight w:val="0"/>
      <w:marTop w:val="0"/>
      <w:marBottom w:val="0"/>
      <w:divBdr>
        <w:top w:val="none" w:sz="0" w:space="0" w:color="auto"/>
        <w:left w:val="none" w:sz="0" w:space="0" w:color="auto"/>
        <w:bottom w:val="none" w:sz="0" w:space="0" w:color="auto"/>
        <w:right w:val="none" w:sz="0" w:space="0" w:color="auto"/>
      </w:divBdr>
    </w:div>
    <w:div w:id="210043144">
      <w:bodyDiv w:val="1"/>
      <w:marLeft w:val="0"/>
      <w:marRight w:val="0"/>
      <w:marTop w:val="0"/>
      <w:marBottom w:val="0"/>
      <w:divBdr>
        <w:top w:val="none" w:sz="0" w:space="0" w:color="auto"/>
        <w:left w:val="none" w:sz="0" w:space="0" w:color="auto"/>
        <w:bottom w:val="none" w:sz="0" w:space="0" w:color="auto"/>
        <w:right w:val="none" w:sz="0" w:space="0" w:color="auto"/>
      </w:divBdr>
    </w:div>
    <w:div w:id="217517763">
      <w:bodyDiv w:val="1"/>
      <w:marLeft w:val="0"/>
      <w:marRight w:val="0"/>
      <w:marTop w:val="0"/>
      <w:marBottom w:val="0"/>
      <w:divBdr>
        <w:top w:val="none" w:sz="0" w:space="0" w:color="auto"/>
        <w:left w:val="none" w:sz="0" w:space="0" w:color="auto"/>
        <w:bottom w:val="none" w:sz="0" w:space="0" w:color="auto"/>
        <w:right w:val="none" w:sz="0" w:space="0" w:color="auto"/>
      </w:divBdr>
    </w:div>
    <w:div w:id="440999783">
      <w:bodyDiv w:val="1"/>
      <w:marLeft w:val="0"/>
      <w:marRight w:val="0"/>
      <w:marTop w:val="0"/>
      <w:marBottom w:val="0"/>
      <w:divBdr>
        <w:top w:val="none" w:sz="0" w:space="0" w:color="auto"/>
        <w:left w:val="none" w:sz="0" w:space="0" w:color="auto"/>
        <w:bottom w:val="none" w:sz="0" w:space="0" w:color="auto"/>
        <w:right w:val="none" w:sz="0" w:space="0" w:color="auto"/>
      </w:divBdr>
    </w:div>
    <w:div w:id="588320457">
      <w:bodyDiv w:val="1"/>
      <w:marLeft w:val="0"/>
      <w:marRight w:val="0"/>
      <w:marTop w:val="0"/>
      <w:marBottom w:val="0"/>
      <w:divBdr>
        <w:top w:val="none" w:sz="0" w:space="0" w:color="auto"/>
        <w:left w:val="none" w:sz="0" w:space="0" w:color="auto"/>
        <w:bottom w:val="none" w:sz="0" w:space="0" w:color="auto"/>
        <w:right w:val="none" w:sz="0" w:space="0" w:color="auto"/>
      </w:divBdr>
    </w:div>
    <w:div w:id="903031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s://www.adevinta.com/es/spa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tos.coche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es.net/" TargetMode="External"/><Relationship Id="rId5" Type="http://schemas.openxmlformats.org/officeDocument/2006/relationships/webSettings" Target="webSettings.xml"/><Relationship Id="rId15" Type="http://schemas.openxmlformats.org/officeDocument/2006/relationships/hyperlink" Target="mailto:infojobs@evercom.es" TargetMode="External"/><Relationship Id="rId10"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habitaclia.com/" TargetMode="External"/><Relationship Id="rId14" Type="http://schemas.openxmlformats.org/officeDocument/2006/relationships/hyperlink" Target="mailto:prensa@infojob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2</Pages>
  <Words>627</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Albert Cuesta</cp:lastModifiedBy>
  <cp:revision>73</cp:revision>
  <dcterms:created xsi:type="dcterms:W3CDTF">2016-12-02T03:33:00Z</dcterms:created>
  <dcterms:modified xsi:type="dcterms:W3CDTF">2020-12-02T09:04:00Z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