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64" w:rsidRDefault="0036592B">
      <w:pPr>
        <w:spacing w:line="252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Informe </w:t>
      </w:r>
      <w:proofErr w:type="spellStart"/>
      <w:r>
        <w:rPr>
          <w:b/>
          <w:color w:val="000000"/>
          <w:sz w:val="28"/>
          <w:szCs w:val="28"/>
          <w:u w:val="single"/>
        </w:rPr>
        <w:t>InfoJobs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sobre salarios en B en España</w:t>
      </w:r>
    </w:p>
    <w:p w:rsidR="00587064" w:rsidRDefault="00587064">
      <w:pPr>
        <w:spacing w:line="252" w:lineRule="auto"/>
        <w:jc w:val="center"/>
        <w:rPr>
          <w:b/>
          <w:color w:val="767171"/>
          <w:sz w:val="12"/>
          <w:szCs w:val="12"/>
          <w:u w:val="single"/>
        </w:rPr>
      </w:pPr>
    </w:p>
    <w:p w:rsidR="00587064" w:rsidRDefault="00365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70C0"/>
          <w:sz w:val="35"/>
          <w:szCs w:val="35"/>
        </w:rPr>
        <w:t>1 de cada 5 españoles estaría dispuesto a recibir su sueldo en B</w:t>
      </w:r>
    </w:p>
    <w:p w:rsidR="00587064" w:rsidRDefault="00587064">
      <w:pPr>
        <w:spacing w:line="252" w:lineRule="auto"/>
        <w:jc w:val="both"/>
        <w:rPr>
          <w:b/>
          <w:color w:val="2F5496"/>
          <w:sz w:val="16"/>
          <w:szCs w:val="16"/>
        </w:rPr>
      </w:pPr>
    </w:p>
    <w:p w:rsidR="00587064" w:rsidRDefault="00365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Los jóvenes entre 16 y 24 años son los que se muestran con mayor predisposición a cobrar en B (39%) además de ser el colectivo que afirma en un mayor porcentaje haber recibido este tipo de ingresos en los últimos tres años (30%)</w:t>
      </w:r>
    </w:p>
    <w:p w:rsidR="00587064" w:rsidRDefault="0058706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587064" w:rsidRDefault="00365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Si bien hay predisposición a cobrar en B, la realidad es que solo el 14% de los españoles declara haber percibido este tipo de ingresos en los últimos tres años. Aunque por nivel formativo todos los niveles se mantienen en el promedio, destaca que el 30% de las personas con formación no reglada revelan haber recibido ingresos en B en este periodo. </w:t>
      </w:r>
    </w:p>
    <w:p w:rsidR="00587064" w:rsidRDefault="0058706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587064" w:rsidRDefault="003659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 mitad de la población activa española que declara recibir ingresos en B, indica que lo hace porque la empresa no le da otra opción mientras que un 29% lo ve neces</w:t>
      </w:r>
      <w:r w:rsidR="005B2830">
        <w:rPr>
          <w:rFonts w:ascii="Arial" w:eastAsia="Arial" w:hAnsi="Arial" w:cs="Arial"/>
          <w:color w:val="0070C0"/>
          <w:sz w:val="20"/>
          <w:szCs w:val="20"/>
        </w:rPr>
        <w:t>ario para completar su salario</w:t>
      </w:r>
      <w:bookmarkStart w:id="1" w:name="_GoBack"/>
      <w:bookmarkEnd w:id="1"/>
    </w:p>
    <w:p w:rsidR="00587064" w:rsidRDefault="005870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26 de agosto de 2020</w:t>
      </w:r>
      <w:r>
        <w:rPr>
          <w:b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 xml:space="preserve">La tendencia a cobrar ingresos en B es una realidad en el mercado laboral español. Así se desprende del último Informe </w:t>
      </w:r>
      <w:hyperlink r:id="rId8"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InfoJobs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 xml:space="preserve"> que revela que 1 de cada 5 españoles (23%) estaría dispuesto a recibir ingresos en B siendo los hombres los más predispuestos (25%) situándose 3 puntos porcentuales por encima de las mujeres (22%). 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Los encuestados más jóvenes, de entre 16 y 24 años, constituyen el colectivo con mayor voluntad a cobrar en B (39%) y, de hecho, es el grupo que declara en un mayor porcentaje haber recibido este tipo de ingresos en los últimos tres años (30%). En cambio, sólo un 20% de los mayores, de entre 45 y 65 años aceptaría recibir un salario en B y, asimismo, se observa que sólo un 9% </w:t>
      </w:r>
      <w:proofErr w:type="gramStart"/>
      <w:r>
        <w:rPr>
          <w:rFonts w:ascii="Arial" w:eastAsia="Arial" w:hAnsi="Arial" w:cs="Arial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estos encuestados afirma haber recibido este tipo de ingresos en los últimos tres años.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Informe, realizado a una muestra representativa de la población activa española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presenta una radiografía a nivel nacional y por Comunidades Autónomas de la predisposición de los españoles a cobrar salarios en B y de aquellos que afirman haber cobrado de esta manera en los últimos tres años, así como los motivos que aluden para recibir este tipo de ingresos. </w:t>
      </w:r>
    </w:p>
    <w:p w:rsidR="00587064" w:rsidRDefault="0036592B">
      <w:pPr>
        <w:spacing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4701540" cy="2080260"/>
            <wp:effectExtent l="0" t="0" r="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      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nivel formativo, aquellos que cuentan con una formación no reglada están más dispuestos a percibir un salario en B (41%) y también quienes sólo han cursado estudios básicos (30%). Una predisposición que, en este caso, está alineada con la realidad ya que del Informe se desprende que el 30% de los encuestados con estudios no reglados afirma haber cobrado en negro una parte de sus ingresos en los últimos tres años. En concreto, el 31% de ellos señala haber recibido entre el 21% y el 60% de sus ingresos en B.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“Con estos resultados, podemos apuntar que son los más jóvenes quienes entran al mercado laboral con trabajos ocasionales poco regularizados”, </w:t>
      </w:r>
      <w:r>
        <w:rPr>
          <w:rFonts w:ascii="Arial" w:eastAsia="Arial" w:hAnsi="Arial" w:cs="Arial"/>
          <w:sz w:val="20"/>
          <w:szCs w:val="20"/>
        </w:rPr>
        <w:t xml:space="preserve">señala </w:t>
      </w:r>
      <w:r>
        <w:rPr>
          <w:rFonts w:ascii="Arial" w:eastAsia="Arial" w:hAnsi="Arial" w:cs="Arial"/>
          <w:b/>
          <w:sz w:val="20"/>
          <w:szCs w:val="20"/>
        </w:rPr>
        <w:t xml:space="preserve">Mónica Pérez, directora de comunicación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quien añade también que: </w:t>
      </w:r>
      <w:r>
        <w:rPr>
          <w:rFonts w:ascii="Arial" w:eastAsia="Arial" w:hAnsi="Arial" w:cs="Arial"/>
          <w:i/>
          <w:sz w:val="20"/>
          <w:szCs w:val="20"/>
        </w:rPr>
        <w:t>“las personas con titulaciones no reconocidas o con una formación básica también corren más riesgo de acceder al mercado laboral en condiciones  más precarias”.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5425440" cy="2514600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16"/>
          <w:szCs w:val="16"/>
        </w:rPr>
      </w:pP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La situación laboral también influye a la hora de plantearse recibir ingresos en B y, en este sentido, se observa una mayor disposición a recibir este tipo de salarios entre los desempleados (31%) en comparación con los ocupados (21%).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Las personas con cargos directivos, quienes más se muestran a favor de cobrar en B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Llama la atención el porcentaje de encuestados que ocupan cargos directivos y que apuntan estar abiertos a recibir una parte de su salario en B. Así lo afirman un 29%. Cabe añadir que un 15% de los encuestados en posiciones de liderazgo confirma haber cobrado este tipo de ingresos en los últimos 3 años, y un 38% de ellos afirma además haber recibido entre el 21% y el 60% de su salario en B.  El motivo principal que aluden es que necesitan completar su salario (el 40% de ellos así lo afirman). Un dato que vuelve a sorprender por ser un grupo que está arriba en la pirámide salarial.</w:t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</w:p>
    <w:p w:rsidR="00587064" w:rsidRDefault="00587064">
      <w:pPr>
        <w:spacing w:line="252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7064" w:rsidRDefault="0036592B">
      <w:pPr>
        <w:spacing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158740" cy="2621280"/>
            <wp:effectExtent l="0" t="0" r="0" b="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064" w:rsidRDefault="0036592B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 de cada 5 encuestados que ha cobrado en B señala haber ingresado hasta el 60% de su salario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entre aquellas personas que declaran haber cobrado en B en los 3 últimos años, más de la mitad (69%) afirma haber percibido por esta vía hasta el 20% de sus ingresos y 1 de cada 5 (22%) señala haber ingresado en B entre el 21% y el 60% de su salario.</w:t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</w:p>
    <w:p w:rsidR="00587064" w:rsidRDefault="0036592B">
      <w:pPr>
        <w:spacing w:line="252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ES"/>
        </w:rPr>
        <w:drawing>
          <wp:inline distT="0" distB="0" distL="0" distR="0">
            <wp:extent cx="4770120" cy="256794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16"/>
          <w:szCs w:val="16"/>
        </w:rPr>
      </w:pP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edades, son los encuestados de entre 35 y 44 años quienes declaran en mayor porcentaje (73%) haber cobrado en B en los últimos tres años hasta el 20% de sus ingresos, seguido de los jóvenes entre 25 y 34 años (72%) y entre 16 y 24 años (69%).</w:t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064" w:rsidRDefault="00587064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064" w:rsidRDefault="00587064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064" w:rsidRDefault="0036592B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empresa sólo da esta opción de pago, el principal motivo entre los encuestados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población activa española que afirma recibir este tipo de ingresos alude que la empresa no le da otra opción (50%). Es también el principal motivo al segmentar por edades, ocupación, por nivel laboral y por nivel de estudios.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segundo motivo que cita un 29% de los encuestados es la necesidad de completar su salario, mientras que un 7% apunta a no querer pagar impuestos desproporcionados y un 4% señala no querer perder la prestación por desempleo o porque se trata de trabajos interpersonales de pocas horas.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5400040" cy="2406015"/>
            <wp:effectExtent l="0" t="0" r="0" b="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Los andaluces los más predispuestos a cobrar en B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comunidades autónomas, el Informe refleja que los andaluces son los españoles más dispuestos a cobrar en B (28%) situándose 5 puntos porcentuales por encima del global de España (23%). Además, un 18% afirma haber percibido este tipo de ingresos en los últimos 3 años, dato que llama la atención siendo Andalucía una de las comunidades con tasas de paro más elevadas. </w:t>
      </w:r>
    </w:p>
    <w:p w:rsidR="00587064" w:rsidRDefault="0036592B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sz w:val="20"/>
          <w:szCs w:val="20"/>
        </w:rPr>
        <w:t>En el lado opuesto se sitúa el País Vasco, una de las comunidades autónomas en las que menor predisposición hay a la hora de aceptar un salario en B (20%) y también en las que menos se declara haber percibido ingresos en B en los 3 últimos años (9%), situándose 5 puntos porcentuales por debajo del promedio de España (14%).</w:t>
      </w: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</w:p>
    <w:p w:rsidR="00587064" w:rsidRDefault="00587064">
      <w:pPr>
        <w:spacing w:line="252" w:lineRule="auto"/>
        <w:jc w:val="both"/>
        <w:rPr>
          <w:rFonts w:ascii="Arial" w:eastAsia="Arial" w:hAnsi="Arial" w:cs="Arial"/>
          <w:sz w:val="20"/>
          <w:szCs w:val="20"/>
        </w:rPr>
      </w:pPr>
    </w:p>
    <w:p w:rsidR="00587064" w:rsidRDefault="0036592B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t>InfoJobs</w:t>
      </w:r>
      <w:proofErr w:type="spellEnd"/>
    </w:p>
    <w:p w:rsidR="00587064" w:rsidRDefault="0036592B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En el último año,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ha publicado más de 3,3 millones de posiciones vacantes. Cuenta cada mes con 40 millones de visitas (el 85% proceden de dispositivos móviles) y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2019).</w:t>
      </w:r>
    </w:p>
    <w:p w:rsidR="00587064" w:rsidRDefault="0036592B">
      <w:pPr>
        <w:shd w:val="clear" w:color="auto" w:fill="FFFFFF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lastRenderedPageBreak/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 y una de las principales empresas del sector tecnológico del país, con más de 18 millones de usuarios al mes en sus plataformas de los sectores inmobiliario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</w:rPr>
        <w:instrText xml:space="preserve"> HYPERLINK "https://www.fotocasa.es/es/" \h </w:instrText>
      </w:r>
      <w:r>
        <w:rPr>
          <w:rFonts w:ascii="Arial" w:eastAsia="Arial" w:hAnsi="Arial" w:cs="Arial"/>
          <w:color w:val="808080"/>
          <w:sz w:val="16"/>
          <w:szCs w:val="16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</w:rPr>
        <w:t>Fotocasa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4">
        <w:proofErr w:type="spellStart"/>
        <w:r>
          <w:rPr>
            <w:rFonts w:ascii="Arial" w:eastAsia="Arial" w:hAnsi="Arial" w:cs="Arial"/>
            <w:color w:val="808080"/>
            <w:sz w:val="16"/>
            <w:szCs w:val="16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</w:rPr>
        <w:instrText xml:space="preserve"> HYPERLINK "https://www.infojobs.net/" \h </w:instrText>
      </w:r>
      <w:r>
        <w:rPr>
          <w:rFonts w:ascii="Arial" w:eastAsia="Arial" w:hAnsi="Arial" w:cs="Arial"/>
          <w:color w:val="808080"/>
          <w:sz w:val="16"/>
          <w:szCs w:val="16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6">
        <w:r>
          <w:rPr>
            <w:rFonts w:ascii="Arial" w:eastAsia="Arial" w:hAnsi="Arial" w:cs="Arial"/>
            <w:color w:val="808080"/>
            <w:sz w:val="16"/>
            <w:szCs w:val="16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</w:rPr>
        <w:instrText xml:space="preserve"> HYPERLINK "https://www.milanuncios.com/" \h </w:instrText>
      </w:r>
      <w:r>
        <w:rPr>
          <w:rFonts w:ascii="Arial" w:eastAsia="Arial" w:hAnsi="Arial" w:cs="Arial"/>
          <w:color w:val="808080"/>
          <w:sz w:val="16"/>
          <w:szCs w:val="16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7">
        <w:proofErr w:type="spellStart"/>
        <w:r>
          <w:rPr>
            <w:rFonts w:ascii="Arial" w:eastAsia="Arial" w:hAnsi="Arial" w:cs="Arial"/>
            <w:color w:val="808080"/>
            <w:sz w:val="16"/>
            <w:szCs w:val="16"/>
          </w:rPr>
          <w:t>vibbo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:rsidR="00587064" w:rsidRDefault="0036592B">
      <w:pPr>
        <w:shd w:val="clear" w:color="auto" w:fill="FFFFFF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en España, antes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Schibsted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Spain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cuenta con una plantilla de más de 1.100 empleados. Además de en España,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presencia en 14 países más de Europa, América Latina y África del Norte. El conjunto de sus plataformas locales reciben un promedio de 1.500 millones de visitas cada mes. Más información en </w:t>
      </w:r>
      <w:hyperlink r:id="rId18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:rsidR="00587064" w:rsidRDefault="0036592B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:rsidR="00587064" w:rsidRDefault="0036592B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587064" w:rsidRDefault="003659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7F7F7F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Marta Sevilla</w:t>
      </w:r>
      <w:r w:rsidR="007B3EAD">
        <w:rPr>
          <w:rFonts w:ascii="Arial" w:eastAsia="Arial" w:hAnsi="Arial" w:cs="Arial"/>
          <w:color w:val="7F7F7F"/>
          <w:sz w:val="18"/>
          <w:szCs w:val="18"/>
        </w:rPr>
        <w:t xml:space="preserve"> / Carolina Ortiz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 </w:t>
      </w:r>
      <w:hyperlink r:id="rId19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20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:rsidR="00587064" w:rsidRDefault="003659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Arial" w:eastAsia="Arial" w:hAnsi="Arial" w:cs="Arial"/>
          <w:color w:val="808080"/>
          <w:sz w:val="16"/>
          <w:szCs w:val="16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sectPr w:rsidR="00587064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9D" w:rsidRDefault="0036592B">
      <w:pPr>
        <w:spacing w:after="0" w:line="240" w:lineRule="auto"/>
      </w:pPr>
      <w:r>
        <w:separator/>
      </w:r>
    </w:p>
  </w:endnote>
  <w:endnote w:type="continuationSeparator" w:id="0">
    <w:p w:rsidR="002F729D" w:rsidRDefault="0036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64" w:rsidRDefault="00587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8045" w:type="dxa"/>
      <w:tblInd w:w="0" w:type="dxa"/>
      <w:tblLayout w:type="fixed"/>
      <w:tblLook w:val="0400" w:firstRow="0" w:lastRow="0" w:firstColumn="0" w:lastColumn="0" w:noHBand="0" w:noVBand="1"/>
    </w:tblPr>
    <w:tblGrid>
      <w:gridCol w:w="5243"/>
      <w:gridCol w:w="2802"/>
    </w:tblGrid>
    <w:tr w:rsidR="00587064">
      <w:trPr>
        <w:trHeight w:val="624"/>
      </w:trPr>
      <w:tc>
        <w:tcPr>
          <w:tcW w:w="5243" w:type="dxa"/>
          <w:tcBorders>
            <w:right w:val="single" w:sz="4" w:space="0" w:color="5B9BD5"/>
          </w:tcBorders>
        </w:tcPr>
        <w:p w:rsidR="00587064" w:rsidRDefault="0036592B">
          <w:pPr>
            <w:tabs>
              <w:tab w:val="left" w:pos="620"/>
              <w:tab w:val="center" w:pos="4320"/>
            </w:tabs>
            <w:rPr>
              <w:sz w:val="20"/>
              <w:szCs w:val="20"/>
            </w:rPr>
          </w:pPr>
          <w:r>
            <w:rPr>
              <w:sz w:val="20"/>
              <w:szCs w:val="20"/>
              <w:vertAlign w:val="superscript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t xml:space="preserve"> Nota metodológica: </w:t>
          </w:r>
          <w:r>
            <w:rPr>
              <w:rFonts w:ascii="Arial" w:eastAsia="Arial" w:hAnsi="Arial" w:cs="Arial"/>
              <w:sz w:val="14"/>
              <w:szCs w:val="14"/>
            </w:rPr>
            <w:t xml:space="preserve">Encuesta online a población activa, realizada en febrero 2020, a un panel independiente de población española. La muestra es de 4.463 personas y es representativa del total de la población activa (Fuente: EPA 2019T4) por edad, sexo, situación laboral y CCAA. Error </w:t>
          </w:r>
          <w:proofErr w:type="spellStart"/>
          <w:r>
            <w:rPr>
              <w:rFonts w:ascii="Arial" w:eastAsia="Arial" w:hAnsi="Arial" w:cs="Arial"/>
              <w:sz w:val="14"/>
              <w:szCs w:val="14"/>
            </w:rPr>
            <w:t>muestral</w:t>
          </w:r>
          <w:proofErr w:type="spellEnd"/>
          <w:r>
            <w:rPr>
              <w:rFonts w:ascii="Arial" w:eastAsia="Arial" w:hAnsi="Arial" w:cs="Arial"/>
              <w:sz w:val="14"/>
              <w:szCs w:val="14"/>
            </w:rPr>
            <w:t>: 1,5% para un intervalo de confianza del 95%</w:t>
          </w:r>
        </w:p>
      </w:tc>
      <w:tc>
        <w:tcPr>
          <w:tcW w:w="2802" w:type="dxa"/>
          <w:tcBorders>
            <w:left w:val="single" w:sz="4" w:space="0" w:color="5B9BD5"/>
          </w:tcBorders>
        </w:tcPr>
        <w:p w:rsidR="00587064" w:rsidRDefault="0036592B">
          <w:pPr>
            <w:tabs>
              <w:tab w:val="left" w:pos="1490"/>
            </w:tabs>
            <w:rPr>
              <w:sz w:val="28"/>
              <w:szCs w:val="2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2830">
            <w:rPr>
              <w:noProof/>
            </w:rPr>
            <w:t>5</w:t>
          </w:r>
          <w:r>
            <w:fldChar w:fldCharType="end"/>
          </w:r>
        </w:p>
      </w:tc>
    </w:tr>
  </w:tbl>
  <w:p w:rsidR="00587064" w:rsidRDefault="00587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9D" w:rsidRDefault="0036592B">
      <w:pPr>
        <w:spacing w:after="0" w:line="240" w:lineRule="auto"/>
      </w:pPr>
      <w:r>
        <w:separator/>
      </w:r>
    </w:p>
  </w:footnote>
  <w:footnote w:type="continuationSeparator" w:id="0">
    <w:p w:rsidR="002F729D" w:rsidRDefault="0036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64" w:rsidRDefault="003659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-327655</wp:posOffset>
          </wp:positionH>
          <wp:positionV relativeFrom="paragraph">
            <wp:posOffset>-144775</wp:posOffset>
          </wp:positionV>
          <wp:extent cx="1628775" cy="706120"/>
          <wp:effectExtent l="0" t="0" r="0" b="0"/>
          <wp:wrapSquare wrapText="bothSides" distT="0" distB="0" distL="114300" distR="114300"/>
          <wp:docPr id="36" name="image1.png" descr="ij-logo_default_prima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j-logo_default_prima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52400" distB="152400" distL="152400" distR="152400" simplePos="0" relativeHeight="251659264" behindDoc="0" locked="0" layoutInCell="1" hidden="0" allowOverlap="1">
          <wp:simplePos x="0" y="0"/>
          <wp:positionH relativeFrom="column">
            <wp:posOffset>4730115</wp:posOffset>
          </wp:positionH>
          <wp:positionV relativeFrom="paragraph">
            <wp:posOffset>-158745</wp:posOffset>
          </wp:positionV>
          <wp:extent cx="720001" cy="720001"/>
          <wp:effectExtent l="0" t="0" r="0" b="0"/>
          <wp:wrapSquare wrapText="bothSides" distT="152400" distB="152400" distL="152400" distR="15240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7064" w:rsidRDefault="00587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87064" w:rsidRDefault="00587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87064" w:rsidRDefault="00587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587064" w:rsidRDefault="00587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4C73"/>
    <w:multiLevelType w:val="multilevel"/>
    <w:tmpl w:val="16B8D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4"/>
    <w:rsid w:val="002F729D"/>
    <w:rsid w:val="0036592B"/>
    <w:rsid w:val="00587064"/>
    <w:rsid w:val="005B2830"/>
    <w:rsid w:val="007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C864-A839-4200-84D5-0CC2687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D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u w:color="000000"/>
      <w:bdr w:val="nil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B466A1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02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s://www.adevinta.com/es/spai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vibb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ches.net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habitaclia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0\4.%20MMCC\01.%20INFORME%20ANUAL\7.%20SALARIOS%20EN%20B\200714_salarioenB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0\4.%20MMCC\01.%20INFORME%20ANUAL\7.%20SALARIOS%20EN%20B\200714_salarioenB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0\4.%20MMCC\01.%20INFORME%20ANUAL\7.%20SALARIOS%20EN%20B\200714_salarioenB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0\4.%20MMCC\01.%20INFORME%20ANUAL\7.%20SALARIOS%20EN%20B\200714_salarioenB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EVESRV03\BARCELONA\1.%20CLIENTES\5.%20INFOJOBS\2020\4.%20MMCC\01.%20INFORME%20ANUAL\7.%20SALARIOS%20EN%20B\200714_salarioenB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50">
                <a:latin typeface="Proxima Nova"/>
              </a:rPr>
              <a:t>Sí, aceptaría</a:t>
            </a:r>
            <a:r>
              <a:rPr lang="es-ES_tradnl" sz="1050" baseline="0">
                <a:latin typeface="Proxima Nova"/>
              </a:rPr>
              <a:t> cobrar su sueldo en B (total o parcialmente) </a:t>
            </a:r>
          </a:p>
        </c:rich>
      </c:tx>
      <c:layout>
        <c:manualLayout>
          <c:xMode val="edge"/>
          <c:yMode val="edge"/>
          <c:x val="0.18121275156650798"/>
          <c:y val="6.3385346062511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21182421079050698"/>
          <c:y val="0.19472421716516206"/>
          <c:w val="0.69412171331095773"/>
          <c:h val="0.586980954303788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Hoja2!$A$10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D7636CB-15BF-4E0C-B58C-18334340A37A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738C2016-0C52-4202-9629-1215F3660A4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1E33FC7-9E8E-4CAE-81E8-236315E91D5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C119DBD-708D-46AD-AF39-6B93D19C871A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9260EDD-0F64-428B-8EFD-7254B67538DE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Hoja2!$E$5:$I$5</c:f>
              <c:strCache>
                <c:ptCount val="5"/>
                <c:pt idx="0">
                  <c:v>De 16 a 24 años</c:v>
                </c:pt>
                <c:pt idx="1">
                  <c:v>De 25 a 34 años</c:v>
                </c:pt>
                <c:pt idx="2">
                  <c:v>De 35 a 44 años</c:v>
                </c:pt>
                <c:pt idx="3">
                  <c:v>De 45 a 54 años</c:v>
                </c:pt>
                <c:pt idx="4">
                  <c:v>De 55 a 65 años</c:v>
                </c:pt>
              </c:strCache>
            </c:strRef>
          </c:cat>
          <c:val>
            <c:numRef>
              <c:f>Hoja2!$E$10:$I$10</c:f>
              <c:numCache>
                <c:formatCode>General</c:formatCode>
                <c:ptCount val="5"/>
                <c:pt idx="0">
                  <c:v>38.700000000000003</c:v>
                </c:pt>
                <c:pt idx="1">
                  <c:v>29.799999999999997</c:v>
                </c:pt>
                <c:pt idx="2">
                  <c:v>21.7</c:v>
                </c:pt>
                <c:pt idx="3">
                  <c:v>19.899999999999999</c:v>
                </c:pt>
                <c:pt idx="4">
                  <c:v>20.200000000000003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17-9446-9FCC-A312409DE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652912"/>
        <c:axId val="-1327654544"/>
      </c:barChart>
      <c:catAx>
        <c:axId val="-1327652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4544"/>
        <c:crosses val="autoZero"/>
        <c:auto val="1"/>
        <c:lblAlgn val="ctr"/>
        <c:lblOffset val="100"/>
        <c:noMultiLvlLbl val="0"/>
      </c:catAx>
      <c:valAx>
        <c:axId val="-132765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050">
                <a:latin typeface="Proxima Nova"/>
              </a:rPr>
              <a:t>Sí,</a:t>
            </a:r>
            <a:r>
              <a:rPr lang="es-ES_tradnl" sz="1050" baseline="0">
                <a:latin typeface="Proxima Nova"/>
              </a:rPr>
              <a:t> he recibido ingresos en B los últimos 3 años</a:t>
            </a:r>
            <a:endParaRPr lang="es-ES_tradnl" sz="1050">
              <a:latin typeface="Proxima Nova"/>
            </a:endParaRPr>
          </a:p>
        </c:rich>
      </c:tx>
      <c:layout>
        <c:manualLayout>
          <c:xMode val="edge"/>
          <c:yMode val="edge"/>
          <c:x val="0.26363518932458696"/>
          <c:y val="4.9527559055118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45527967171008055"/>
          <c:y val="0.17331623319812295"/>
          <c:w val="0.51961333827565426"/>
          <c:h val="0.6116236817703175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41800B7-FE07-43E0-B55F-A25D985787B4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A4931E3A-EE19-43A6-9BBE-1FB0F85FC9E5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80CD0FCF-C0D7-41CD-ABE7-B2219822F57E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0C24CC3A-D80B-4C27-A906-95AEDD64A8D4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5909CB40-B165-4287-8767-B70CB6E9E6B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Hoja2!$AH$50:$AL$50</c:f>
              <c:strCache>
                <c:ptCount val="5"/>
                <c:pt idx="0">
                  <c:v>Sin estudios</c:v>
                </c:pt>
                <c:pt idx="1">
                  <c:v>Formación no reglada</c:v>
                </c:pt>
                <c:pt idx="2">
                  <c:v>Educación Secundaria Obligatoria (ESO)</c:v>
                </c:pt>
                <c:pt idx="3">
                  <c:v>Bachillerato /Formación Profesional /Ciclos Formativos</c:v>
                </c:pt>
                <c:pt idx="4">
                  <c:v>Estudios universitarios (Diplomado / Grado / Licenciado) y superiores (Postgrado / Máster / Doctorado)</c:v>
                </c:pt>
              </c:strCache>
            </c:strRef>
          </c:cat>
          <c:val>
            <c:numRef>
              <c:f>Hoja2!$AH$59:$AL$59</c:f>
              <c:numCache>
                <c:formatCode>General</c:formatCode>
                <c:ptCount val="5"/>
                <c:pt idx="0">
                  <c:v>15.7</c:v>
                </c:pt>
                <c:pt idx="1">
                  <c:v>30.299999999999997</c:v>
                </c:pt>
                <c:pt idx="2">
                  <c:v>16.099999999999998</c:v>
                </c:pt>
                <c:pt idx="3">
                  <c:v>14.1</c:v>
                </c:pt>
                <c:pt idx="4">
                  <c:v>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88-3746-B49D-C69B0284B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654000"/>
        <c:axId val="-1327653456"/>
      </c:barChart>
      <c:catAx>
        <c:axId val="-132765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3456"/>
        <c:crosses val="autoZero"/>
        <c:auto val="1"/>
        <c:lblAlgn val="ctr"/>
        <c:lblOffset val="100"/>
        <c:noMultiLvlLbl val="0"/>
      </c:catAx>
      <c:valAx>
        <c:axId val="-1327653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/>
                <a:ea typeface="+mn-ea"/>
                <a:cs typeface="+mn-cs"/>
              </a:defRPr>
            </a:pPr>
            <a:r>
              <a:rPr lang="es-ES_tradnl" sz="1050" b="0">
                <a:latin typeface="Proxima Nova"/>
              </a:rPr>
              <a:t>Sí,</a:t>
            </a:r>
            <a:r>
              <a:rPr lang="es-ES_tradnl" sz="1050" b="0" baseline="0">
                <a:latin typeface="Proxima Nova"/>
              </a:rPr>
              <a:t> </a:t>
            </a:r>
            <a:r>
              <a:rPr lang="es-ES_tradnl" sz="1050" b="0">
                <a:latin typeface="Proxima Nova"/>
              </a:rPr>
              <a:t>aceptaría</a:t>
            </a:r>
            <a:r>
              <a:rPr lang="es-ES_tradnl" sz="1050" b="0" baseline="0">
                <a:latin typeface="Proxima Nova"/>
              </a:rPr>
              <a:t> cobrar su sueldo en B (total o parcialmente</a:t>
            </a:r>
            <a:r>
              <a:rPr lang="es-ES_tradnl" sz="1050" baseline="0">
                <a:latin typeface="Proxima Nova"/>
              </a:rPr>
              <a:t>)</a:t>
            </a:r>
            <a:endParaRPr lang="es-ES_tradnl" sz="1050">
              <a:latin typeface="Proxima Nova"/>
            </a:endParaRPr>
          </a:p>
        </c:rich>
      </c:tx>
      <c:layout>
        <c:manualLayout>
          <c:xMode val="edge"/>
          <c:yMode val="edge"/>
          <c:x val="0.18215740460327073"/>
          <c:y val="4.43101711983887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roxima Nova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50931518776499096"/>
          <c:y val="0.1930106665445889"/>
          <c:w val="0.38597327377347057"/>
          <c:h val="0.6040754573352046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DFBA21EA-38F0-46E6-BFBC-74BFABEA48F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0457257-CA39-4324-B070-497F7FD25994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1EFCC0D9-C5D1-4FC2-9A3A-839C73FAA8E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Hoja2!$AE$5:$AG$5</c:f>
              <c:strCache>
                <c:ptCount val="3"/>
                <c:pt idx="0">
                  <c:v>Empleado/a/ Especialista</c:v>
                </c:pt>
                <c:pt idx="1">
                  <c:v>Mando intermedio</c:v>
                </c:pt>
                <c:pt idx="2">
                  <c:v>Dirección / Gerencia / Consejo de administración</c:v>
                </c:pt>
              </c:strCache>
            </c:strRef>
          </c:cat>
          <c:val>
            <c:numRef>
              <c:f>Hoja2!$AE$10:$AG$10</c:f>
              <c:numCache>
                <c:formatCode>General</c:formatCode>
                <c:ptCount val="3"/>
                <c:pt idx="0">
                  <c:v>23.4</c:v>
                </c:pt>
                <c:pt idx="1">
                  <c:v>21.2</c:v>
                </c:pt>
                <c:pt idx="2">
                  <c:v>28.8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5F-9C44-9571-13AB3BAAD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651824"/>
        <c:axId val="-1327652368"/>
      </c:barChart>
      <c:catAx>
        <c:axId val="-132765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2368"/>
        <c:crosses val="autoZero"/>
        <c:auto val="1"/>
        <c:lblAlgn val="ctr"/>
        <c:lblOffset val="100"/>
        <c:noMultiLvlLbl val="0"/>
      </c:catAx>
      <c:valAx>
        <c:axId val="-1327652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2"/>
                </a:solidFill>
                <a:latin typeface="Proxima Nova"/>
                <a:ea typeface="+mn-ea"/>
                <a:cs typeface="+mn-cs"/>
              </a:defRPr>
            </a:pPr>
            <a:r>
              <a:rPr lang="en-US" sz="1050" b="0">
                <a:latin typeface="Proxima Nova"/>
              </a:rPr>
              <a:t>Porcentaje</a:t>
            </a:r>
            <a:r>
              <a:rPr lang="en-US" sz="1050" b="0" baseline="0">
                <a:latin typeface="Proxima Nova"/>
              </a:rPr>
              <a:t> de sus ingresos que son en B</a:t>
            </a:r>
            <a:endParaRPr lang="en-US" sz="1050" b="0">
              <a:latin typeface="Proxima Nova"/>
            </a:endParaRPr>
          </a:p>
          <a:p>
            <a:pPr>
              <a:defRPr sz="1050">
                <a:latin typeface="Proxima Nova"/>
              </a:defRPr>
            </a:pPr>
            <a:endParaRPr lang="en-US" sz="1200" b="0">
              <a:latin typeface="Proxima Nova"/>
            </a:endParaRPr>
          </a:p>
        </c:rich>
      </c:tx>
      <c:layout>
        <c:manualLayout>
          <c:xMode val="edge"/>
          <c:yMode val="edge"/>
          <c:x val="0.28584454929963482"/>
          <c:y val="4.563452076529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2"/>
              </a:solidFill>
              <a:latin typeface="Proxima Nova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121546961325966"/>
          <c:y val="0.26351948780968848"/>
          <c:w val="0.67071823204419889"/>
          <c:h val="0.50310459137813257"/>
        </c:manualLayout>
      </c:layout>
      <c:pie3DChart>
        <c:varyColors val="1"/>
        <c:ser>
          <c:idx val="0"/>
          <c:order val="0"/>
          <c:tx>
            <c:strRef>
              <c:f>Hoja2!$B$112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AB1-534B-9567-3B96C3D3E1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B1-534B-9567-3B96C3D3E1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B1-534B-9567-3B96C3D3E1CD}"/>
              </c:ext>
            </c:extLst>
          </c:dPt>
          <c:dLbls>
            <c:dLbl>
              <c:idx val="0"/>
              <c:layout>
                <c:manualLayout>
                  <c:x val="4.7993219597550207E-2"/>
                  <c:y val="3.97794546515018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AB1-534B-9567-3B96C3D3E1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036745406824156E-2"/>
                  <c:y val="-2.55347769028871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B1-534B-9567-3B96C3D3E1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463910761154857E-2"/>
                  <c:y val="-2.71679060950714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AB1-534B-9567-3B96C3D3E1C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Hoja2!$A$113:$A$115</c:f>
              <c:strCache>
                <c:ptCount val="3"/>
                <c:pt idx="0">
                  <c:v>Hasta el 20%</c:v>
                </c:pt>
                <c:pt idx="1">
                  <c:v>Del 21 al 60%</c:v>
                </c:pt>
                <c:pt idx="2">
                  <c:v>Más del 61%</c:v>
                </c:pt>
              </c:strCache>
            </c:strRef>
          </c:cat>
          <c:val>
            <c:numRef>
              <c:f>Hoja2!$B$113:$B$115</c:f>
              <c:numCache>
                <c:formatCode>General</c:formatCode>
                <c:ptCount val="3"/>
                <c:pt idx="0" formatCode="0.0">
                  <c:v>69</c:v>
                </c:pt>
                <c:pt idx="1">
                  <c:v>22.3</c:v>
                </c:pt>
                <c:pt idx="2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B1-534B-9567-3B96C3D3E1CD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370130943576811"/>
          <c:y val="0.78931621986558043"/>
          <c:w val="0.4567962761560882"/>
          <c:h val="7.93190040434134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/>
                <a:ea typeface="+mn-ea"/>
                <a:cs typeface="+mn-cs"/>
              </a:defRPr>
            </a:pPr>
            <a:r>
              <a:rPr lang="es-ES_tradnl">
                <a:latin typeface="Proxima Nova"/>
              </a:rPr>
              <a:t>Motivos</a:t>
            </a:r>
            <a:r>
              <a:rPr lang="es-ES_tradnl" baseline="0">
                <a:latin typeface="Proxima Nova"/>
              </a:rPr>
              <a:t> por los cuales reciben ingresos en B</a:t>
            </a:r>
            <a:endParaRPr lang="es-ES_tradnl">
              <a:latin typeface="Proxima Nova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roxima Nova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50077438803413177"/>
          <c:y val="0.23140031791800672"/>
          <c:w val="0.39554360359766744"/>
          <c:h val="0.562026912128941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D905DF6E-5DB2-47D2-A2A9-C3C8C0AEA00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5259409-C0FC-409F-9085-A2DD63A436A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294BCFDA-6A7E-490D-A3CA-A7D36FDC9026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2893B2F-501A-4DA3-B26A-52B80A812879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85CE25C1-D9E2-46A0-9462-E26EC300528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24B1387B-2F1B-4474-B8FE-4708F9D22CD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Hoja2!$A$160:$A$165</c:f>
              <c:strCache>
                <c:ptCount val="6"/>
                <c:pt idx="0">
                  <c:v>La empresa solo me da esta opción</c:v>
                </c:pt>
                <c:pt idx="1">
                  <c:v>Tengo un sueldo que necesito completar</c:v>
                </c:pt>
                <c:pt idx="2">
                  <c:v>No quiero pagar impuestos, son desproporcionados</c:v>
                </c:pt>
                <c:pt idx="3">
                  <c:v>No quiero perder la prestación por desempleo</c:v>
                </c:pt>
                <c:pt idx="4">
                  <c:v>Trabajos interpesonales/pocas horas</c:v>
                </c:pt>
                <c:pt idx="5">
                  <c:v>Otro</c:v>
                </c:pt>
              </c:strCache>
            </c:strRef>
          </c:cat>
          <c:val>
            <c:numRef>
              <c:f>Hoja2!$B$160:$B$165</c:f>
              <c:numCache>
                <c:formatCode>General</c:formatCode>
                <c:ptCount val="6"/>
                <c:pt idx="0">
                  <c:v>50.3</c:v>
                </c:pt>
                <c:pt idx="1">
                  <c:v>29.4</c:v>
                </c:pt>
                <c:pt idx="2">
                  <c:v>7.4</c:v>
                </c:pt>
                <c:pt idx="3">
                  <c:v>4.3</c:v>
                </c:pt>
                <c:pt idx="4">
                  <c:v>4.0999999999999996</c:v>
                </c:pt>
                <c:pt idx="5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6D-4348-B363-074D7AF6C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27651280"/>
        <c:axId val="-1327650736"/>
      </c:barChart>
      <c:catAx>
        <c:axId val="-1327651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0736"/>
        <c:crosses val="autoZero"/>
        <c:auto val="1"/>
        <c:lblAlgn val="ctr"/>
        <c:lblOffset val="100"/>
        <c:noMultiLvlLbl val="0"/>
      </c:catAx>
      <c:valAx>
        <c:axId val="-13276507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32765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0.33548</cdr:x>
      <cdr:y>0.8697</cdr:y>
    </cdr:from>
    <cdr:to>
      <cdr:x>0.48627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577254" y="1809202"/>
          <a:ext cx="708945" cy="271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>
              <a:latin typeface="Proxima Nova"/>
            </a:rPr>
            <a:t>Fuente:</a:t>
          </a:r>
          <a:r>
            <a:rPr lang="es-ES" sz="800" baseline="0">
              <a:latin typeface="Proxima Nova"/>
            </a:rPr>
            <a:t> InfoJobs      n=4436</a:t>
          </a:r>
          <a:endParaRPr lang="es-ES" sz="800">
            <a:latin typeface="Proxima Nova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0.38797</cdr:x>
      <cdr:y>0.86818</cdr:y>
    </cdr:from>
    <cdr:to>
      <cdr:x>0.53154</cdr:x>
      <cdr:y>0.99718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2095050" y="2341885"/>
          <a:ext cx="775283" cy="347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>
              <a:latin typeface="Proxima Nova"/>
            </a:rPr>
            <a:t>Fuente:</a:t>
          </a:r>
          <a:r>
            <a:rPr lang="es-ES" sz="800" baseline="0">
              <a:latin typeface="Proxima Nova"/>
            </a:rPr>
            <a:t> InfoJobs      n=4436</a:t>
          </a:r>
          <a:endParaRPr lang="es-ES" sz="800">
            <a:latin typeface="Proxima Nova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0.40698</cdr:x>
      <cdr:y>0.86983</cdr:y>
    </cdr:from>
    <cdr:to>
      <cdr:x>0.58005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2150136" y="2742378"/>
          <a:ext cx="914364" cy="4103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>
              <a:latin typeface="Proxima Nova"/>
            </a:rPr>
            <a:t>Fuente</a:t>
          </a:r>
          <a:r>
            <a:rPr lang="es-ES" sz="1000">
              <a:latin typeface="Proxima Nova"/>
            </a:rPr>
            <a:t>:</a:t>
          </a:r>
          <a:r>
            <a:rPr lang="es-ES" sz="1000" baseline="0">
              <a:latin typeface="Proxima Nova"/>
            </a:rPr>
            <a:t> </a:t>
          </a:r>
          <a:r>
            <a:rPr lang="es-ES" sz="800" baseline="0">
              <a:latin typeface="Proxima Nova"/>
            </a:rPr>
            <a:t>InfoJobs      n=4436</a:t>
          </a:r>
          <a:endParaRPr lang="es-ES" sz="800">
            <a:latin typeface="Proxima Nova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0.3779</cdr:x>
      <cdr:y>0.84811</cdr:y>
    </cdr:from>
    <cdr:to>
      <cdr:x>0.53702</cdr:x>
      <cdr:y>1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2171700" y="2795066"/>
          <a:ext cx="914400" cy="500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>
              <a:latin typeface="Proxima Nova"/>
            </a:rPr>
            <a:t>Fuente:</a:t>
          </a:r>
          <a:r>
            <a:rPr lang="es-ES" sz="800" baseline="0">
              <a:latin typeface="Proxima Nova"/>
            </a:rPr>
            <a:t> InfoJobs      n=4436</a:t>
          </a:r>
          <a:endParaRPr lang="es-ES" sz="800">
            <a:latin typeface="Proxima Nova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0.34257</cdr:x>
      <cdr:y>0.84829</cdr:y>
    </cdr:from>
    <cdr:to>
      <cdr:x>0.4932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2079625" y="2294698"/>
          <a:ext cx="914400" cy="410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>
              <a:latin typeface="Proxima Nova"/>
            </a:rPr>
            <a:t>Fuente</a:t>
          </a:r>
          <a:r>
            <a:rPr lang="es-ES" sz="1000">
              <a:latin typeface="Proxima Nova"/>
            </a:rPr>
            <a:t>:</a:t>
          </a:r>
          <a:r>
            <a:rPr lang="es-ES" sz="1000" baseline="0">
              <a:latin typeface="Proxima Nova"/>
            </a:rPr>
            <a:t> </a:t>
          </a:r>
          <a:r>
            <a:rPr lang="es-ES" sz="800" baseline="0">
              <a:latin typeface="Proxima Nova"/>
            </a:rPr>
            <a:t>InfoJobs</a:t>
          </a:r>
          <a:r>
            <a:rPr lang="es-ES" sz="1000" baseline="0">
              <a:latin typeface="Proxima Nova"/>
            </a:rPr>
            <a:t>      </a:t>
          </a:r>
          <a:r>
            <a:rPr lang="es-ES" sz="800" baseline="0">
              <a:latin typeface="Proxima Nova"/>
            </a:rPr>
            <a:t>n=4436</a:t>
          </a:r>
          <a:endParaRPr lang="es-ES" sz="800">
            <a:latin typeface="Proxima Nova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+onAido5sNCfDSGsedRia5SGA==">AMUW2mWZFM2rZUXwyU18d5c5Q1Lt9ZgnT1cAXqH3wBYb11A7zslORxlHHxdU6fjtgkilUNgTBAeNEvOsi7RSwrtMteZuK4hXO/d9+qsdwYkUb5egrvOD0xnNUOwxkPV4uuvo5f/XR7qyNhiEW+fdSPxiMFX4A1kRRA==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Alegre</dc:creator>
  <cp:lastModifiedBy>carolina ortiz</cp:lastModifiedBy>
  <cp:revision>4</cp:revision>
  <dcterms:created xsi:type="dcterms:W3CDTF">2020-08-26T09:01:00Z</dcterms:created>
  <dcterms:modified xsi:type="dcterms:W3CDTF">2020-08-26T09:09:00Z</dcterms:modified>
</cp:coreProperties>
</file>