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B009A1" w14:textId="0BF90C48" w:rsidR="002611F4" w:rsidRPr="00A86CF7" w:rsidRDefault="0079781E" w:rsidP="002611F4">
      <w:pPr>
        <w:pStyle w:val="Cuerpo"/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</w:pPr>
      <w:r w:rsidRPr="00A86CF7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En septiembre, l</w:t>
      </w:r>
      <w:r w:rsidR="002611F4" w:rsidRPr="00A86CF7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 xml:space="preserve">as vacantes </w:t>
      </w:r>
      <w:r w:rsidRPr="00A86CF7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publicadas</w:t>
      </w:r>
      <w:r w:rsidR="002611F4" w:rsidRPr="00A86CF7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 xml:space="preserve"> en InfoJobs aumentan un 24% </w:t>
      </w:r>
      <w:r w:rsidRPr="00A86CF7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respecto al mes anterior</w:t>
      </w:r>
    </w:p>
    <w:p w14:paraId="2F1CE252" w14:textId="1917BF0E" w:rsidR="006D71E8" w:rsidRPr="00A86CF7" w:rsidRDefault="006D71E8" w:rsidP="006D71E8">
      <w:pPr>
        <w:pStyle w:val="Cuerpo"/>
        <w:rPr>
          <w:rFonts w:ascii="Arial" w:hAnsi="Arial" w:cs="Arial"/>
          <w:sz w:val="32"/>
          <w:szCs w:val="32"/>
        </w:rPr>
      </w:pPr>
    </w:p>
    <w:p w14:paraId="10B16FC1" w14:textId="77777777" w:rsidR="0023523D" w:rsidRPr="00A86CF7" w:rsidRDefault="00072788" w:rsidP="00B571F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Durante el mes de septiembre, la plataforma de empleo ha registrado un total de 234.345 vacantes para trabajar en España. </w:t>
      </w:r>
    </w:p>
    <w:p w14:paraId="14E27CB7" w14:textId="77777777" w:rsidR="0023523D" w:rsidRPr="00A86CF7" w:rsidRDefault="0023523D" w:rsidP="0023523D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1FA24D12" w14:textId="791EA1D5" w:rsidR="00226687" w:rsidRPr="00A86CF7" w:rsidRDefault="000976B1" w:rsidP="001663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Madrid</w:t>
      </w:r>
      <w:r w:rsidR="00226687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y 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Cataluña 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son, una vez más, las Comunidades que más empleo generan, concentrando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el 5</w:t>
      </w:r>
      <w:r w:rsidR="00313DEF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5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% de</w:t>
      </w:r>
      <w:r w:rsidR="00D7612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l total de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las 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 w:rsidR="003501E8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publicadas</w:t>
      </w:r>
    </w:p>
    <w:p w14:paraId="70A105FE" w14:textId="77777777" w:rsidR="001E714C" w:rsidRPr="00A86CF7" w:rsidRDefault="001E714C" w:rsidP="001E714C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1EA5F592" w14:textId="6B187678" w:rsidR="00366687" w:rsidRPr="00A86CF7" w:rsidRDefault="00313DEF" w:rsidP="004659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L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a modalidad contractual indefinida 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aument</w:t>
      </w:r>
      <w:r w:rsidR="0079781E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ó</w:t>
      </w:r>
      <w:r w:rsidR="001E714C"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un </w:t>
      </w: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36% respecto al mes anterior</w:t>
      </w:r>
    </w:p>
    <w:p w14:paraId="1DEF73D5" w14:textId="77777777" w:rsidR="001E714C" w:rsidRPr="00A86CF7" w:rsidRDefault="001E714C" w:rsidP="001E714C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0C91BDCE" w:rsidR="006D71E8" w:rsidRPr="00A86CF7" w:rsidRDefault="006D71E8" w:rsidP="00155BE5">
      <w:pPr>
        <w:pStyle w:val="Cuerpo"/>
        <w:tabs>
          <w:tab w:val="left" w:pos="2850"/>
        </w:tabs>
      </w:pPr>
    </w:p>
    <w:p w14:paraId="0B6C8CF4" w14:textId="15E35582" w:rsidR="00F54883" w:rsidRPr="00A86CF7" w:rsidRDefault="006D71E8" w:rsidP="001D7E6B">
      <w:pPr>
        <w:pStyle w:val="IJTextonormal"/>
        <w:rPr>
          <w:bCs w:val="0"/>
        </w:rPr>
      </w:pPr>
      <w:r w:rsidRPr="00A86CF7">
        <w:rPr>
          <w:rStyle w:val="Ninguno"/>
          <w:b/>
          <w:u w:color="000000"/>
        </w:rPr>
        <w:t>Barcelona, a</w:t>
      </w:r>
      <w:r w:rsidR="00787F2D" w:rsidRPr="00A86CF7">
        <w:rPr>
          <w:rStyle w:val="Ninguno"/>
          <w:b/>
          <w:u w:color="000000"/>
        </w:rPr>
        <w:t xml:space="preserve"> 1</w:t>
      </w:r>
      <w:r w:rsidR="00CE56FA" w:rsidRPr="00A86CF7">
        <w:rPr>
          <w:rStyle w:val="Ninguno"/>
          <w:b/>
          <w:u w:color="000000"/>
        </w:rPr>
        <w:t>6</w:t>
      </w:r>
      <w:r w:rsidR="00787F2D" w:rsidRPr="00A86CF7">
        <w:rPr>
          <w:rStyle w:val="Ninguno"/>
          <w:b/>
          <w:u w:color="000000"/>
        </w:rPr>
        <w:t xml:space="preserve"> de octubre</w:t>
      </w:r>
      <w:r w:rsidRPr="00A86CF7">
        <w:rPr>
          <w:rStyle w:val="Ninguno"/>
          <w:b/>
          <w:u w:color="000000"/>
        </w:rPr>
        <w:t xml:space="preserve"> de 2019.-</w:t>
      </w:r>
      <w:r w:rsidR="00A530C1" w:rsidRPr="00A86CF7">
        <w:rPr>
          <w:rStyle w:val="Ninguno"/>
          <w:b/>
          <w:u w:color="000000"/>
        </w:rPr>
        <w:t xml:space="preserve"> </w:t>
      </w:r>
      <w:hyperlink r:id="rId8" w:history="1">
        <w:r w:rsidR="00F54883" w:rsidRPr="00A86CF7">
          <w:rPr>
            <w:rStyle w:val="Hipervnculo"/>
            <w:b/>
            <w:bCs w:val="0"/>
            <w:color w:val="0070C0"/>
          </w:rPr>
          <w:t>InfoJobs</w:t>
        </w:r>
      </w:hyperlink>
      <w:r w:rsidR="00F54883" w:rsidRPr="00A86CF7">
        <w:t>, la plataforma líder en España para encontrar las mejores oportunidades laborales y el mejor talento</w:t>
      </w:r>
      <w:r w:rsidR="00F54883" w:rsidRPr="00A86CF7">
        <w:rPr>
          <w:bCs w:val="0"/>
        </w:rPr>
        <w:t>, registr</w:t>
      </w:r>
      <w:r w:rsidR="00E907BD" w:rsidRPr="00A86CF7">
        <w:rPr>
          <w:bCs w:val="0"/>
        </w:rPr>
        <w:t>ó</w:t>
      </w:r>
      <w:r w:rsidR="00F54883" w:rsidRPr="00A86CF7">
        <w:rPr>
          <w:bCs w:val="0"/>
        </w:rPr>
        <w:t xml:space="preserve"> </w:t>
      </w:r>
      <w:r w:rsidR="00F8634D" w:rsidRPr="00A86CF7">
        <w:rPr>
          <w:bCs w:val="0"/>
        </w:rPr>
        <w:t xml:space="preserve">el pasado mes de </w:t>
      </w:r>
      <w:r w:rsidR="00155BE5" w:rsidRPr="00A86CF7">
        <w:rPr>
          <w:bCs w:val="0"/>
        </w:rPr>
        <w:t>septiembre</w:t>
      </w:r>
      <w:r w:rsidR="00AD7104" w:rsidRPr="00A86CF7">
        <w:rPr>
          <w:bCs w:val="0"/>
        </w:rPr>
        <w:t xml:space="preserve"> </w:t>
      </w:r>
      <w:r w:rsidR="00F54883" w:rsidRPr="00A86CF7">
        <w:rPr>
          <w:bCs w:val="0"/>
        </w:rPr>
        <w:t xml:space="preserve">un total de </w:t>
      </w:r>
      <w:r w:rsidR="00F8634D" w:rsidRPr="00A86CF7">
        <w:rPr>
          <w:b/>
        </w:rPr>
        <w:t>2</w:t>
      </w:r>
      <w:r w:rsidR="00155BE5" w:rsidRPr="00A86CF7">
        <w:rPr>
          <w:b/>
        </w:rPr>
        <w:t xml:space="preserve">34.345 </w:t>
      </w:r>
      <w:r w:rsidR="00F54883" w:rsidRPr="00A86CF7">
        <w:rPr>
          <w:b/>
        </w:rPr>
        <w:t>vacantes de empleo para trabajar en España</w:t>
      </w:r>
      <w:r w:rsidR="00C13E5B" w:rsidRPr="00A86CF7">
        <w:rPr>
          <w:b/>
        </w:rPr>
        <w:t>,</w:t>
      </w:r>
      <w:r w:rsidR="001F01AE" w:rsidRPr="00A86CF7">
        <w:rPr>
          <w:bCs w:val="0"/>
        </w:rPr>
        <w:t xml:space="preserve"> </w:t>
      </w:r>
      <w:r w:rsidR="00C13E5B" w:rsidRPr="00A86CF7">
        <w:rPr>
          <w:bCs w:val="0"/>
        </w:rPr>
        <w:t xml:space="preserve">lo que supone </w:t>
      </w:r>
      <w:r w:rsidR="00BA1948" w:rsidRPr="00A86CF7">
        <w:rPr>
          <w:bCs w:val="0"/>
        </w:rPr>
        <w:t xml:space="preserve">un </w:t>
      </w:r>
      <w:r w:rsidR="001F01AE" w:rsidRPr="00A86CF7">
        <w:rPr>
          <w:bCs w:val="0"/>
        </w:rPr>
        <w:t xml:space="preserve">24% más </w:t>
      </w:r>
      <w:r w:rsidR="00F24E75" w:rsidRPr="00A86CF7">
        <w:rPr>
          <w:bCs w:val="0"/>
        </w:rPr>
        <w:t xml:space="preserve">de vacantes  </w:t>
      </w:r>
      <w:r w:rsidR="00C13E5B" w:rsidRPr="00A86CF7">
        <w:rPr>
          <w:bCs w:val="0"/>
        </w:rPr>
        <w:t xml:space="preserve">respecto </w:t>
      </w:r>
      <w:r w:rsidR="00F733E2" w:rsidRPr="00A86CF7">
        <w:rPr>
          <w:bCs w:val="0"/>
        </w:rPr>
        <w:t>al</w:t>
      </w:r>
      <w:r w:rsidR="00F24E75" w:rsidRPr="00A86CF7">
        <w:rPr>
          <w:bCs w:val="0"/>
        </w:rPr>
        <w:t xml:space="preserve"> mes de</w:t>
      </w:r>
      <w:r w:rsidR="001F01AE" w:rsidRPr="00A86CF7">
        <w:rPr>
          <w:bCs w:val="0"/>
        </w:rPr>
        <w:t xml:space="preserve"> agosto</w:t>
      </w:r>
      <w:r w:rsidR="00F733E2" w:rsidRPr="00A86CF7">
        <w:rPr>
          <w:bCs w:val="0"/>
        </w:rPr>
        <w:t>.</w:t>
      </w:r>
      <w:r w:rsidR="00166F14" w:rsidRPr="00A86CF7">
        <w:rPr>
          <w:bCs w:val="0"/>
        </w:rPr>
        <w:t xml:space="preserve"> </w:t>
      </w:r>
    </w:p>
    <w:p w14:paraId="25C30855" w14:textId="50A9A611" w:rsidR="00166F14" w:rsidRPr="00A86CF7" w:rsidRDefault="00166F14" w:rsidP="001D7E6B">
      <w:pPr>
        <w:pStyle w:val="IJTextonormal"/>
        <w:rPr>
          <w:bCs w:val="0"/>
        </w:rPr>
      </w:pPr>
    </w:p>
    <w:p w14:paraId="1A326321" w14:textId="357DF8AD" w:rsidR="00B84AF5" w:rsidRPr="00A86CF7" w:rsidRDefault="00322C76" w:rsidP="00B84AF5">
      <w:pPr>
        <w:pStyle w:val="IJTextonormal"/>
        <w:rPr>
          <w:bCs w:val="0"/>
        </w:rPr>
      </w:pPr>
      <w:r w:rsidRPr="00A86CF7">
        <w:rPr>
          <w:bCs w:val="0"/>
        </w:rPr>
        <w:t>L</w:t>
      </w:r>
      <w:r w:rsidR="00B84AF5" w:rsidRPr="00A86CF7">
        <w:rPr>
          <w:bCs w:val="0"/>
        </w:rPr>
        <w:t xml:space="preserve">os sectores de </w:t>
      </w:r>
      <w:r w:rsidR="00B84AF5" w:rsidRPr="00A86CF7">
        <w:rPr>
          <w:b/>
          <w:bCs w:val="0"/>
        </w:rPr>
        <w:t>Comercial y Ventas (45.490 vacantes),</w:t>
      </w:r>
      <w:r w:rsidR="00B84AF5" w:rsidRPr="00A86CF7">
        <w:rPr>
          <w:bCs w:val="0"/>
        </w:rPr>
        <w:t xml:space="preserve"> </w:t>
      </w:r>
      <w:r w:rsidR="00B84AF5" w:rsidRPr="00A86CF7">
        <w:rPr>
          <w:b/>
          <w:bCs w:val="0"/>
        </w:rPr>
        <w:t>Atención a Clientes (28.746</w:t>
      </w:r>
      <w:r w:rsidR="005966B7" w:rsidRPr="00A86CF7">
        <w:rPr>
          <w:b/>
          <w:bCs w:val="0"/>
        </w:rPr>
        <w:t xml:space="preserve"> vacantes</w:t>
      </w:r>
      <w:r w:rsidR="00B84AF5" w:rsidRPr="00A86CF7">
        <w:rPr>
          <w:b/>
          <w:bCs w:val="0"/>
        </w:rPr>
        <w:t>)</w:t>
      </w:r>
      <w:r w:rsidR="00B84AF5" w:rsidRPr="00A86CF7">
        <w:rPr>
          <w:bCs w:val="0"/>
        </w:rPr>
        <w:t xml:space="preserve"> e </w:t>
      </w:r>
      <w:r w:rsidR="00B84AF5" w:rsidRPr="00A86CF7">
        <w:rPr>
          <w:b/>
          <w:bCs w:val="0"/>
        </w:rPr>
        <w:t>Informática y Telecomunicaciones (25.275</w:t>
      </w:r>
      <w:r w:rsidR="005966B7" w:rsidRPr="00A86CF7">
        <w:rPr>
          <w:b/>
          <w:bCs w:val="0"/>
        </w:rPr>
        <w:t xml:space="preserve"> vacantes</w:t>
      </w:r>
      <w:r w:rsidR="00B84AF5" w:rsidRPr="00A86CF7">
        <w:rPr>
          <w:b/>
          <w:bCs w:val="0"/>
        </w:rPr>
        <w:t>)</w:t>
      </w:r>
      <w:r w:rsidR="00B84AF5" w:rsidRPr="00A86CF7">
        <w:rPr>
          <w:bCs w:val="0"/>
        </w:rPr>
        <w:t xml:space="preserve"> </w:t>
      </w:r>
      <w:r w:rsidR="00F30FD9" w:rsidRPr="00A86CF7">
        <w:rPr>
          <w:bCs w:val="0"/>
        </w:rPr>
        <w:t xml:space="preserve">han </w:t>
      </w:r>
      <w:r w:rsidRPr="00A86CF7">
        <w:rPr>
          <w:bCs w:val="0"/>
        </w:rPr>
        <w:t>sido los que han l</w:t>
      </w:r>
      <w:r w:rsidR="00B84AF5" w:rsidRPr="00A86CF7">
        <w:rPr>
          <w:bCs w:val="0"/>
        </w:rPr>
        <w:t>idera</w:t>
      </w:r>
      <w:r w:rsidR="00F30FD9" w:rsidRPr="00A86CF7">
        <w:rPr>
          <w:bCs w:val="0"/>
        </w:rPr>
        <w:t>do</w:t>
      </w:r>
      <w:r w:rsidR="00B84AF5" w:rsidRPr="00A86CF7">
        <w:rPr>
          <w:bCs w:val="0"/>
        </w:rPr>
        <w:t xml:space="preserve"> la creación de empleo en España</w:t>
      </w:r>
      <w:r w:rsidRPr="00A86CF7">
        <w:rPr>
          <w:bCs w:val="0"/>
        </w:rPr>
        <w:t xml:space="preserve"> en el mes de septiembre</w:t>
      </w:r>
      <w:r w:rsidR="00B84AF5" w:rsidRPr="00A86CF7">
        <w:rPr>
          <w:bCs w:val="0"/>
        </w:rPr>
        <w:t>.</w:t>
      </w:r>
    </w:p>
    <w:p w14:paraId="1A11975F" w14:textId="77777777" w:rsidR="00B84AF5" w:rsidRPr="00A86CF7" w:rsidRDefault="00B84AF5" w:rsidP="00B84AF5">
      <w:pPr>
        <w:pStyle w:val="IJTextonormal"/>
        <w:rPr>
          <w:bCs w:val="0"/>
        </w:rPr>
      </w:pPr>
    </w:p>
    <w:p w14:paraId="2D7917FE" w14:textId="6B8E69EB" w:rsidR="00B84AF5" w:rsidRPr="00A86CF7" w:rsidRDefault="00B84AF5" w:rsidP="00B84AF5">
      <w:pPr>
        <w:pStyle w:val="IJTextonormal"/>
        <w:rPr>
          <w:bCs w:val="0"/>
          <w:color w:val="000000" w:themeColor="text1"/>
        </w:rPr>
      </w:pPr>
      <w:r w:rsidRPr="00A86CF7">
        <w:rPr>
          <w:bCs w:val="0"/>
        </w:rPr>
        <w:t xml:space="preserve">Otro sector que </w:t>
      </w:r>
      <w:r w:rsidR="00342E4C" w:rsidRPr="00A86CF7">
        <w:rPr>
          <w:bCs w:val="0"/>
        </w:rPr>
        <w:t xml:space="preserve">ha </w:t>
      </w:r>
      <w:r w:rsidRPr="00A86CF7">
        <w:rPr>
          <w:bCs w:val="0"/>
        </w:rPr>
        <w:t>canaliza</w:t>
      </w:r>
      <w:r w:rsidR="00342E4C" w:rsidRPr="00A86CF7">
        <w:rPr>
          <w:bCs w:val="0"/>
        </w:rPr>
        <w:t>do</w:t>
      </w:r>
      <w:r w:rsidRPr="00A86CF7">
        <w:rPr>
          <w:bCs w:val="0"/>
        </w:rPr>
        <w:t xml:space="preserve"> un gran número de vacantes a través de InfoJobs es </w:t>
      </w:r>
      <w:r w:rsidR="00217D7B" w:rsidRPr="00A86CF7">
        <w:rPr>
          <w:bCs w:val="0"/>
        </w:rPr>
        <w:t>el de</w:t>
      </w:r>
      <w:r w:rsidR="006A37B9" w:rsidRPr="00A86CF7">
        <w:rPr>
          <w:bCs w:val="0"/>
        </w:rPr>
        <w:t xml:space="preserve"> </w:t>
      </w:r>
      <w:r w:rsidRPr="00A86CF7">
        <w:rPr>
          <w:b/>
          <w:bCs w:val="0"/>
        </w:rPr>
        <w:t xml:space="preserve">Compras, Logística y Almacén, con 21.388 </w:t>
      </w:r>
      <w:r w:rsidR="00442948" w:rsidRPr="00A86CF7">
        <w:rPr>
          <w:b/>
          <w:bCs w:val="0"/>
        </w:rPr>
        <w:t>puestos de trabajo ofertados</w:t>
      </w:r>
      <w:r w:rsidRPr="00A86CF7">
        <w:rPr>
          <w:bCs w:val="0"/>
        </w:rPr>
        <w:t>. Hay que tener en cuenta que las vacantes de este sector podrían continuar su senda creciente en los próximos meses, ya que el comercio electrónico cobra un gran protagonismo e</w:t>
      </w:r>
      <w:r w:rsidR="00442948" w:rsidRPr="00A86CF7">
        <w:rPr>
          <w:bCs w:val="0"/>
        </w:rPr>
        <w:t>n</w:t>
      </w:r>
      <w:r w:rsidRPr="00A86CF7">
        <w:rPr>
          <w:bCs w:val="0"/>
        </w:rPr>
        <w:t xml:space="preserve"> época </w:t>
      </w:r>
      <w:r w:rsidRPr="00A86CF7">
        <w:rPr>
          <w:bCs w:val="0"/>
          <w:color w:val="000000" w:themeColor="text1"/>
        </w:rPr>
        <w:t xml:space="preserve">de </w:t>
      </w:r>
      <w:r w:rsidRPr="00A86CF7">
        <w:rPr>
          <w:bCs w:val="0"/>
          <w:i/>
          <w:color w:val="000000" w:themeColor="text1"/>
        </w:rPr>
        <w:t>Black Friday</w:t>
      </w:r>
      <w:r w:rsidRPr="00A86CF7">
        <w:rPr>
          <w:bCs w:val="0"/>
          <w:color w:val="000000" w:themeColor="text1"/>
        </w:rPr>
        <w:t xml:space="preserve"> y </w:t>
      </w:r>
      <w:r w:rsidR="0093312E" w:rsidRPr="00A86CF7">
        <w:rPr>
          <w:bCs w:val="0"/>
          <w:color w:val="000000" w:themeColor="text1"/>
        </w:rPr>
        <w:t xml:space="preserve">durante </w:t>
      </w:r>
      <w:r w:rsidRPr="00A86CF7">
        <w:rPr>
          <w:bCs w:val="0"/>
          <w:color w:val="000000" w:themeColor="text1"/>
        </w:rPr>
        <w:t>las campañas navideñas.</w:t>
      </w:r>
    </w:p>
    <w:p w14:paraId="56603904" w14:textId="77777777" w:rsidR="00B84AF5" w:rsidRPr="00A86CF7" w:rsidRDefault="00B84AF5" w:rsidP="001D7E6B">
      <w:pPr>
        <w:pStyle w:val="IJTextonormal"/>
        <w:rPr>
          <w:bCs w:val="0"/>
        </w:rPr>
      </w:pPr>
    </w:p>
    <w:p w14:paraId="66E26570" w14:textId="78C364FA" w:rsidR="00D0333E" w:rsidRPr="00A86CF7" w:rsidRDefault="00D0333E" w:rsidP="001D7E6B">
      <w:pPr>
        <w:pStyle w:val="IJTextonormal"/>
      </w:pPr>
      <w:r w:rsidRPr="00A86CF7">
        <w:rPr>
          <w:b/>
          <w:bCs w:val="0"/>
        </w:rPr>
        <w:t xml:space="preserve">Profesiones, artes y oficios (9%) </w:t>
      </w:r>
      <w:r w:rsidR="00B82FC1" w:rsidRPr="00A86CF7">
        <w:rPr>
          <w:b/>
          <w:bCs w:val="0"/>
        </w:rPr>
        <w:t>y Turismo y restauración</w:t>
      </w:r>
      <w:r w:rsidR="0065123F" w:rsidRPr="00A86CF7">
        <w:rPr>
          <w:b/>
          <w:bCs w:val="0"/>
        </w:rPr>
        <w:t xml:space="preserve"> (</w:t>
      </w:r>
      <w:r w:rsidR="00D54425" w:rsidRPr="00A86CF7">
        <w:rPr>
          <w:b/>
          <w:bCs w:val="0"/>
        </w:rPr>
        <w:t>8%)</w:t>
      </w:r>
      <w:r w:rsidR="00B82FC1" w:rsidRPr="00A86CF7">
        <w:rPr>
          <w:b/>
          <w:bCs w:val="0"/>
        </w:rPr>
        <w:t xml:space="preserve"> </w:t>
      </w:r>
      <w:r w:rsidRPr="00A86CF7">
        <w:t xml:space="preserve">son otros de los sectores que han ayudado a la creación de empleo </w:t>
      </w:r>
      <w:r w:rsidR="00477E87" w:rsidRPr="00A86CF7">
        <w:t>en septiembre: a</w:t>
      </w:r>
      <w:r w:rsidR="00B82FC1" w:rsidRPr="00A86CF7">
        <w:t>mbos sectores r</w:t>
      </w:r>
      <w:r w:rsidRPr="00A86CF7">
        <w:t xml:space="preserve">ecogieron 20.289 </w:t>
      </w:r>
      <w:r w:rsidR="00B82FC1" w:rsidRPr="00A86CF7">
        <w:t xml:space="preserve">y 17.964 </w:t>
      </w:r>
      <w:r w:rsidRPr="00A86CF7">
        <w:t>vacantes</w:t>
      </w:r>
      <w:r w:rsidR="00B82FC1" w:rsidRPr="00A86CF7">
        <w:t>,</w:t>
      </w:r>
      <w:r w:rsidRPr="00A86CF7">
        <w:t xml:space="preserve"> respectivamente. </w:t>
      </w:r>
    </w:p>
    <w:p w14:paraId="38AB624E" w14:textId="77777777" w:rsidR="0065123F" w:rsidRPr="00A86CF7" w:rsidRDefault="0065123F" w:rsidP="001D7E6B">
      <w:pPr>
        <w:pStyle w:val="IJTextonormal"/>
      </w:pPr>
    </w:p>
    <w:p w14:paraId="0584C11D" w14:textId="79AC0DB7" w:rsidR="00BB6878" w:rsidRPr="00A86CF7" w:rsidRDefault="00FD18E1" w:rsidP="00BB6878">
      <w:pPr>
        <w:pStyle w:val="IJTextonormal"/>
        <w:rPr>
          <w:rStyle w:val="Ninguno"/>
          <w:rFonts w:eastAsia="Arial Unicode MS" w:cs="Arial Unicode MS"/>
          <w:iCs w:val="0"/>
          <w:color w:val="3A7AB2"/>
          <w:sz w:val="24"/>
          <w:szCs w:val="24"/>
          <w:u w:color="27AAE1"/>
          <w:bdr w:val="nil"/>
          <w:lang w:eastAsia="es-ES"/>
        </w:rPr>
      </w:pPr>
      <w:r w:rsidRPr="00A86CF7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>Más de 60.000 vacantes en InfoJobs ofrecían contrato indefinido en septiembre</w:t>
      </w:r>
    </w:p>
    <w:p w14:paraId="20BC7A06" w14:textId="77777777" w:rsidR="00FD18E1" w:rsidRPr="00A86CF7" w:rsidRDefault="00FD18E1" w:rsidP="00BB6878">
      <w:pPr>
        <w:pStyle w:val="IJTextonormal"/>
        <w:rPr>
          <w:bCs w:val="0"/>
        </w:rPr>
      </w:pPr>
    </w:p>
    <w:p w14:paraId="66615654" w14:textId="4A9B16C3" w:rsidR="00BB6878" w:rsidRPr="00A86CF7" w:rsidRDefault="00BB6878" w:rsidP="00BB6878">
      <w:pPr>
        <w:pStyle w:val="IJTextonormal"/>
      </w:pPr>
      <w:r w:rsidRPr="00A86CF7">
        <w:rPr>
          <w:bCs w:val="0"/>
        </w:rPr>
        <w:t xml:space="preserve">Del total de vacantes </w:t>
      </w:r>
      <w:r w:rsidRPr="00A86CF7">
        <w:rPr>
          <w:b/>
        </w:rPr>
        <w:t>que informaban sobre el tipo de contrato ofertado</w:t>
      </w:r>
      <w:r w:rsidRPr="00A86CF7">
        <w:rPr>
          <w:bCs w:val="0"/>
        </w:rPr>
        <w:t xml:space="preserve">, </w:t>
      </w:r>
      <w:r w:rsidRPr="00A86CF7">
        <w:rPr>
          <w:b/>
          <w:bCs w:val="0"/>
        </w:rPr>
        <w:t>63.813</w:t>
      </w:r>
      <w:r w:rsidRPr="00A86CF7">
        <w:rPr>
          <w:bCs w:val="0"/>
        </w:rPr>
        <w:t xml:space="preserve"> ofrecían modalidad contractual </w:t>
      </w:r>
      <w:r w:rsidRPr="00A86CF7">
        <w:rPr>
          <w:b/>
          <w:bCs w:val="0"/>
        </w:rPr>
        <w:t>indefinida</w:t>
      </w:r>
      <w:r w:rsidRPr="00A86CF7">
        <w:rPr>
          <w:bCs w:val="0"/>
        </w:rPr>
        <w:t xml:space="preserve">, es decir, el </w:t>
      </w:r>
      <w:r w:rsidRPr="00A86CF7">
        <w:rPr>
          <w:b/>
          <w:bCs w:val="0"/>
        </w:rPr>
        <w:t>2</w:t>
      </w:r>
      <w:r w:rsidR="00A86CF7">
        <w:rPr>
          <w:b/>
          <w:bCs w:val="0"/>
        </w:rPr>
        <w:t>8</w:t>
      </w:r>
      <w:r w:rsidRPr="00A86CF7">
        <w:rPr>
          <w:b/>
          <w:bCs w:val="0"/>
        </w:rPr>
        <w:t>% del total</w:t>
      </w:r>
      <w:r w:rsidR="00056467" w:rsidRPr="00A86CF7">
        <w:rPr>
          <w:b/>
          <w:bCs w:val="0"/>
        </w:rPr>
        <w:t>,</w:t>
      </w:r>
      <w:r w:rsidRPr="00A86CF7">
        <w:rPr>
          <w:b/>
          <w:bCs w:val="0"/>
        </w:rPr>
        <w:t xml:space="preserve"> </w:t>
      </w:r>
      <w:r w:rsidRPr="00A86CF7">
        <w:rPr>
          <w:bCs w:val="0"/>
        </w:rPr>
        <w:t xml:space="preserve">lo que supone un crecimiento </w:t>
      </w:r>
      <w:r w:rsidRPr="00A86CF7">
        <w:t>del</w:t>
      </w:r>
      <w:r w:rsidRPr="00A86CF7">
        <w:rPr>
          <w:bCs w:val="0"/>
        </w:rPr>
        <w:t xml:space="preserve"> 36</w:t>
      </w:r>
      <w:r w:rsidRPr="00A86CF7">
        <w:t>% respecto</w:t>
      </w:r>
      <w:r w:rsidR="00FD18E1" w:rsidRPr="00A86CF7">
        <w:t xml:space="preserve"> al mes de</w:t>
      </w:r>
      <w:r w:rsidRPr="00A86CF7">
        <w:t xml:space="preserve"> agosto. A su vez, las vacantes que ofrecían modalidad contractual de </w:t>
      </w:r>
      <w:r w:rsidRPr="00A86CF7">
        <w:rPr>
          <w:b/>
        </w:rPr>
        <w:t>duración determinada</w:t>
      </w:r>
      <w:r w:rsidRPr="00A86CF7">
        <w:t xml:space="preserve"> </w:t>
      </w:r>
      <w:r w:rsidR="0026080E" w:rsidRPr="00A86CF7">
        <w:t xml:space="preserve">en septiembre </w:t>
      </w:r>
      <w:r w:rsidRPr="00A86CF7">
        <w:t xml:space="preserve">representaron el </w:t>
      </w:r>
      <w:r w:rsidRPr="00A86CF7">
        <w:rPr>
          <w:b/>
          <w:bCs w:val="0"/>
        </w:rPr>
        <w:t>3</w:t>
      </w:r>
      <w:r w:rsidR="00A86CF7">
        <w:rPr>
          <w:b/>
          <w:bCs w:val="0"/>
        </w:rPr>
        <w:t>3</w:t>
      </w:r>
      <w:r w:rsidRPr="00A86CF7">
        <w:rPr>
          <w:b/>
          <w:bCs w:val="0"/>
        </w:rPr>
        <w:t>% del total</w:t>
      </w:r>
      <w:r w:rsidRPr="00A86CF7">
        <w:t xml:space="preserve">, un </w:t>
      </w:r>
      <w:r w:rsidRPr="00A86CF7">
        <w:rPr>
          <w:b/>
          <w:bCs w:val="0"/>
        </w:rPr>
        <w:t xml:space="preserve">18% </w:t>
      </w:r>
      <w:r w:rsidRPr="00A86CF7">
        <w:rPr>
          <w:bCs w:val="0"/>
        </w:rPr>
        <w:t>más</w:t>
      </w:r>
      <w:r w:rsidRPr="00A86CF7">
        <w:t xml:space="preserve"> respecto al mes anterior. </w:t>
      </w:r>
    </w:p>
    <w:p w14:paraId="3F39C236" w14:textId="77777777" w:rsidR="00BB6878" w:rsidRPr="00A86CF7" w:rsidRDefault="00BB6878" w:rsidP="00BB6878">
      <w:pPr>
        <w:pStyle w:val="IJTextonormal"/>
      </w:pPr>
    </w:p>
    <w:p w14:paraId="25DC6876" w14:textId="7C5BFA66" w:rsidR="00BB6878" w:rsidRPr="00A86CF7" w:rsidRDefault="00BB6878" w:rsidP="00BB6878">
      <w:pPr>
        <w:pStyle w:val="IJTextonormal"/>
        <w:rPr>
          <w:b/>
          <w:bCs w:val="0"/>
        </w:rPr>
      </w:pPr>
      <w:r w:rsidRPr="00A86CF7">
        <w:lastRenderedPageBreak/>
        <w:t xml:space="preserve">Entre los puestos de trabajo ofertados en septiembre destaca el peso de la </w:t>
      </w:r>
      <w:r w:rsidRPr="00A86CF7">
        <w:rPr>
          <w:b/>
          <w:bCs w:val="0"/>
        </w:rPr>
        <w:t>jornada a tiempo completo</w:t>
      </w:r>
      <w:r w:rsidR="005C37CB" w:rsidRPr="00A86CF7">
        <w:rPr>
          <w:b/>
          <w:bCs w:val="0"/>
        </w:rPr>
        <w:t xml:space="preserve"> </w:t>
      </w:r>
      <w:r w:rsidR="005C37CB" w:rsidRPr="00A86CF7">
        <w:rPr>
          <w:bCs w:val="0"/>
        </w:rPr>
        <w:t>(</w:t>
      </w:r>
      <w:r w:rsidR="00176A2B" w:rsidRPr="00A86CF7">
        <w:rPr>
          <w:bCs w:val="0"/>
        </w:rPr>
        <w:t>60</w:t>
      </w:r>
      <w:r w:rsidRPr="00A86CF7">
        <w:rPr>
          <w:bCs w:val="0"/>
        </w:rPr>
        <w:t>%</w:t>
      </w:r>
      <w:r w:rsidRPr="00A86CF7">
        <w:t xml:space="preserve"> </w:t>
      </w:r>
      <w:r w:rsidR="005C37CB" w:rsidRPr="00A86CF7">
        <w:t xml:space="preserve">del total de las vacantes publicadas), </w:t>
      </w:r>
      <w:r w:rsidRPr="00A86CF7">
        <w:t>frente a l</w:t>
      </w:r>
      <w:r w:rsidR="005C37CB" w:rsidRPr="00A86CF7">
        <w:t>o</w:t>
      </w:r>
      <w:r w:rsidRPr="00A86CF7">
        <w:t xml:space="preserve">s </w:t>
      </w:r>
      <w:r w:rsidR="005C37CB" w:rsidRPr="00A86CF7">
        <w:t>que ofrecen una a</w:t>
      </w:r>
      <w:r w:rsidRPr="00A86CF7">
        <w:t xml:space="preserve"> tiempo parcial (21%) </w:t>
      </w:r>
      <w:r w:rsidR="00C208A0" w:rsidRPr="00A86CF7">
        <w:t>o intensiva</w:t>
      </w:r>
      <w:r w:rsidRPr="00A86CF7">
        <w:t xml:space="preserve"> (</w:t>
      </w:r>
      <w:r w:rsidR="00176A2B" w:rsidRPr="00A86CF7">
        <w:t>4</w:t>
      </w:r>
      <w:r w:rsidRPr="00A86CF7">
        <w:t xml:space="preserve">%). </w:t>
      </w:r>
    </w:p>
    <w:p w14:paraId="577609C3" w14:textId="77777777" w:rsidR="00BB6878" w:rsidRPr="00A86CF7" w:rsidRDefault="00BB6878" w:rsidP="001D7E6B">
      <w:pPr>
        <w:pStyle w:val="IJTextonormal"/>
      </w:pPr>
    </w:p>
    <w:p w14:paraId="00B9A685" w14:textId="0327E6E8" w:rsidR="00D0333E" w:rsidRPr="00A86CF7" w:rsidRDefault="00B64B4C" w:rsidP="00C83F15">
      <w:pPr>
        <w:pStyle w:val="Destacado"/>
        <w:rPr>
          <w:rStyle w:val="Ninguno"/>
          <w:sz w:val="24"/>
          <w:szCs w:val="24"/>
          <w:u w:color="27AAE1"/>
        </w:rPr>
      </w:pPr>
      <w:r w:rsidRPr="00A86CF7">
        <w:rPr>
          <w:rStyle w:val="Ninguno"/>
          <w:sz w:val="24"/>
          <w:szCs w:val="24"/>
          <w:u w:color="27AAE1"/>
        </w:rPr>
        <w:t xml:space="preserve">Madrid y </w:t>
      </w:r>
      <w:r w:rsidR="001E714C" w:rsidRPr="00A86CF7">
        <w:rPr>
          <w:rStyle w:val="Ninguno"/>
          <w:sz w:val="24"/>
          <w:szCs w:val="24"/>
          <w:u w:color="27AAE1"/>
        </w:rPr>
        <w:t xml:space="preserve">Cataluña concentran </w:t>
      </w:r>
      <w:r w:rsidR="00D7612C" w:rsidRPr="00A86CF7">
        <w:rPr>
          <w:rStyle w:val="Ninguno"/>
          <w:sz w:val="24"/>
          <w:szCs w:val="24"/>
          <w:u w:color="27AAE1"/>
        </w:rPr>
        <w:t>más de la mitad de</w:t>
      </w:r>
      <w:r w:rsidR="001E714C" w:rsidRPr="00A86CF7">
        <w:rPr>
          <w:rStyle w:val="Ninguno"/>
          <w:sz w:val="24"/>
          <w:szCs w:val="24"/>
          <w:u w:color="27AAE1"/>
        </w:rPr>
        <w:t xml:space="preserve"> </w:t>
      </w:r>
      <w:r w:rsidR="00DB7A17" w:rsidRPr="00A86CF7">
        <w:rPr>
          <w:rStyle w:val="Ninguno"/>
          <w:sz w:val="24"/>
          <w:szCs w:val="24"/>
          <w:u w:color="27AAE1"/>
        </w:rPr>
        <w:t>las vacantes</w:t>
      </w:r>
      <w:r w:rsidR="00D0333E" w:rsidRPr="00A86CF7">
        <w:rPr>
          <w:rStyle w:val="Ninguno"/>
          <w:sz w:val="24"/>
          <w:szCs w:val="24"/>
          <w:u w:color="27AAE1"/>
        </w:rPr>
        <w:t xml:space="preserve"> </w:t>
      </w:r>
      <w:r w:rsidR="00D7612C" w:rsidRPr="00A86CF7">
        <w:rPr>
          <w:rStyle w:val="Ninguno"/>
          <w:sz w:val="24"/>
          <w:szCs w:val="24"/>
          <w:u w:color="27AAE1"/>
        </w:rPr>
        <w:t>ofertadas</w:t>
      </w:r>
    </w:p>
    <w:p w14:paraId="465A51A8" w14:textId="77777777" w:rsidR="00D0333E" w:rsidRPr="00A86CF7" w:rsidRDefault="00D0333E" w:rsidP="00C83F15">
      <w:pPr>
        <w:pStyle w:val="Destacado"/>
        <w:rPr>
          <w:rStyle w:val="Ninguno"/>
          <w:sz w:val="24"/>
          <w:szCs w:val="24"/>
          <w:u w:color="27AAE1"/>
        </w:rPr>
      </w:pPr>
    </w:p>
    <w:p w14:paraId="5E762B1A" w14:textId="7B045DAB" w:rsidR="00D0333E" w:rsidRPr="00A86CF7" w:rsidRDefault="00D0333E" w:rsidP="001D7E6B">
      <w:pPr>
        <w:pStyle w:val="IJTextonormal"/>
        <w:rPr>
          <w:bCs w:val="0"/>
        </w:rPr>
      </w:pPr>
      <w:r w:rsidRPr="00A86CF7">
        <w:rPr>
          <w:bCs w:val="0"/>
        </w:rPr>
        <w:t xml:space="preserve">Al igual que en meses anteriores, </w:t>
      </w:r>
      <w:r w:rsidRPr="00A86CF7">
        <w:rPr>
          <w:b/>
        </w:rPr>
        <w:t>Madrid</w:t>
      </w:r>
      <w:r w:rsidR="00226687" w:rsidRPr="00A86CF7">
        <w:rPr>
          <w:b/>
        </w:rPr>
        <w:t xml:space="preserve"> y</w:t>
      </w:r>
      <w:r w:rsidRPr="00A86CF7">
        <w:rPr>
          <w:b/>
        </w:rPr>
        <w:t xml:space="preserve"> Cataluña</w:t>
      </w:r>
      <w:r w:rsidR="00226687" w:rsidRPr="00A86CF7">
        <w:rPr>
          <w:bCs w:val="0"/>
        </w:rPr>
        <w:t xml:space="preserve"> </w:t>
      </w:r>
      <w:r w:rsidRPr="00A86CF7">
        <w:rPr>
          <w:bCs w:val="0"/>
        </w:rPr>
        <w:t xml:space="preserve">vuelven a ser las </w:t>
      </w:r>
      <w:r w:rsidR="0050703D" w:rsidRPr="00A86CF7">
        <w:rPr>
          <w:bCs w:val="0"/>
        </w:rPr>
        <w:t>Comunidades donde</w:t>
      </w:r>
      <w:r w:rsidRPr="00A86CF7">
        <w:rPr>
          <w:bCs w:val="0"/>
        </w:rPr>
        <w:t xml:space="preserve"> </w:t>
      </w:r>
      <w:r w:rsidRPr="00A86CF7">
        <w:rPr>
          <w:b/>
        </w:rPr>
        <w:t>más empleo se genera</w:t>
      </w:r>
      <w:r w:rsidR="00DD5F9E" w:rsidRPr="00A86CF7">
        <w:rPr>
          <w:b/>
        </w:rPr>
        <w:t>,</w:t>
      </w:r>
      <w:r w:rsidRPr="00A86CF7">
        <w:rPr>
          <w:b/>
        </w:rPr>
        <w:t xml:space="preserve"> concentran</w:t>
      </w:r>
      <w:r w:rsidR="0050703D" w:rsidRPr="00A86CF7">
        <w:rPr>
          <w:b/>
        </w:rPr>
        <w:t>do</w:t>
      </w:r>
      <w:r w:rsidRPr="00A86CF7">
        <w:rPr>
          <w:b/>
        </w:rPr>
        <w:t xml:space="preserve"> el </w:t>
      </w:r>
      <w:r w:rsidR="00E07FB6" w:rsidRPr="00A86CF7">
        <w:rPr>
          <w:b/>
        </w:rPr>
        <w:t>55</w:t>
      </w:r>
      <w:r w:rsidRPr="00A86CF7">
        <w:rPr>
          <w:b/>
        </w:rPr>
        <w:t>% del total</w:t>
      </w:r>
      <w:r w:rsidRPr="00A86CF7">
        <w:rPr>
          <w:bCs w:val="0"/>
        </w:rPr>
        <w:t xml:space="preserve"> de vacantes </w:t>
      </w:r>
      <w:r w:rsidR="000648C1" w:rsidRPr="00A86CF7">
        <w:rPr>
          <w:bCs w:val="0"/>
        </w:rPr>
        <w:t>ofertadas</w:t>
      </w:r>
      <w:r w:rsidR="00B445A8" w:rsidRPr="00A86CF7">
        <w:rPr>
          <w:bCs w:val="0"/>
        </w:rPr>
        <w:t xml:space="preserve"> en septiembre</w:t>
      </w:r>
      <w:r w:rsidR="000976B1" w:rsidRPr="00A86CF7">
        <w:rPr>
          <w:bCs w:val="0"/>
        </w:rPr>
        <w:t xml:space="preserve">. </w:t>
      </w:r>
    </w:p>
    <w:p w14:paraId="315A1A07" w14:textId="40EB3425" w:rsidR="00D0333E" w:rsidRPr="00A86CF7" w:rsidRDefault="00D0333E" w:rsidP="001D7E6B">
      <w:pPr>
        <w:pStyle w:val="IJTextonormal"/>
        <w:rPr>
          <w:bCs w:val="0"/>
        </w:rPr>
      </w:pPr>
    </w:p>
    <w:p w14:paraId="77C0B83D" w14:textId="3513EE31" w:rsidR="004F6E3C" w:rsidRPr="00A86CF7" w:rsidRDefault="00C125C4" w:rsidP="001D7E6B">
      <w:pPr>
        <w:pStyle w:val="IJTextonormal"/>
        <w:rPr>
          <w:bCs w:val="0"/>
        </w:rPr>
      </w:pPr>
      <w:r w:rsidRPr="00A86CF7">
        <w:t>En concreto, la Comunidad d</w:t>
      </w:r>
      <w:bookmarkStart w:id="0" w:name="_GoBack"/>
      <w:bookmarkEnd w:id="0"/>
      <w:r w:rsidRPr="00A86CF7">
        <w:t xml:space="preserve">e </w:t>
      </w:r>
      <w:r w:rsidR="00E43E39" w:rsidRPr="00A86CF7">
        <w:t>Madrid</w:t>
      </w:r>
      <w:r w:rsidR="00E43E39" w:rsidRPr="00A86CF7">
        <w:rPr>
          <w:bCs w:val="0"/>
        </w:rPr>
        <w:t xml:space="preserve">, que </w:t>
      </w:r>
      <w:r w:rsidRPr="00A86CF7">
        <w:rPr>
          <w:bCs w:val="0"/>
        </w:rPr>
        <w:t xml:space="preserve">lidera el ranking, ha registrado </w:t>
      </w:r>
      <w:r w:rsidR="00E43E39" w:rsidRPr="00A86CF7">
        <w:rPr>
          <w:b/>
        </w:rPr>
        <w:t>74.770</w:t>
      </w:r>
      <w:r w:rsidRPr="00A86CF7">
        <w:rPr>
          <w:b/>
        </w:rPr>
        <w:t xml:space="preserve"> puestos de trabajo, </w:t>
      </w:r>
      <w:r w:rsidR="0070578F" w:rsidRPr="00A86CF7">
        <w:t>(</w:t>
      </w:r>
      <w:r w:rsidRPr="00A86CF7">
        <w:t>el 32% del total de vacantes</w:t>
      </w:r>
      <w:r w:rsidR="0070578F" w:rsidRPr="00A86CF7">
        <w:t>)</w:t>
      </w:r>
      <w:r w:rsidRPr="00A86CF7">
        <w:t xml:space="preserve">. </w:t>
      </w:r>
      <w:r w:rsidR="000648C1" w:rsidRPr="00A86CF7">
        <w:t xml:space="preserve">En segundo </w:t>
      </w:r>
      <w:r w:rsidR="008350C2" w:rsidRPr="00A86CF7">
        <w:t>lugar,</w:t>
      </w:r>
      <w:r w:rsidR="000648C1" w:rsidRPr="00A86CF7">
        <w:t xml:space="preserve"> encontramos a Cataluña donde se </w:t>
      </w:r>
      <w:r w:rsidR="003767CA" w:rsidRPr="00A86CF7">
        <w:t xml:space="preserve">han </w:t>
      </w:r>
      <w:r w:rsidR="00803AF7" w:rsidRPr="00A86CF7">
        <w:t>registrado</w:t>
      </w:r>
      <w:r w:rsidRPr="00A86CF7">
        <w:rPr>
          <w:bCs w:val="0"/>
        </w:rPr>
        <w:t xml:space="preserve"> 54.577 puestos</w:t>
      </w:r>
      <w:r w:rsidR="005B3DF8" w:rsidRPr="00A86CF7">
        <w:rPr>
          <w:bCs w:val="0"/>
        </w:rPr>
        <w:t xml:space="preserve"> de trabajo</w:t>
      </w:r>
      <w:r w:rsidR="0070578F" w:rsidRPr="00A86CF7">
        <w:rPr>
          <w:bCs w:val="0"/>
        </w:rPr>
        <w:t xml:space="preserve"> (</w:t>
      </w:r>
      <w:r w:rsidRPr="00A86CF7">
        <w:rPr>
          <w:bCs w:val="0"/>
        </w:rPr>
        <w:t xml:space="preserve">un </w:t>
      </w:r>
      <w:r w:rsidR="004F6E3C" w:rsidRPr="00A86CF7">
        <w:rPr>
          <w:bCs w:val="0"/>
        </w:rPr>
        <w:t>23% del total</w:t>
      </w:r>
      <w:r w:rsidR="0070578F" w:rsidRPr="00A86CF7">
        <w:rPr>
          <w:bCs w:val="0"/>
        </w:rPr>
        <w:t>)</w:t>
      </w:r>
      <w:r w:rsidR="00226687" w:rsidRPr="00A86CF7">
        <w:rPr>
          <w:bCs w:val="0"/>
        </w:rPr>
        <w:t xml:space="preserve">. </w:t>
      </w:r>
    </w:p>
    <w:p w14:paraId="639F872F" w14:textId="77777777" w:rsidR="00E07FB6" w:rsidRPr="00A86CF7" w:rsidRDefault="00E07FB6" w:rsidP="00E07FB6">
      <w:pPr>
        <w:jc w:val="both"/>
        <w:rPr>
          <w:rFonts w:ascii="Arial" w:eastAsia="Calibri" w:hAnsi="Arial" w:cs="Arial"/>
          <w:iCs/>
          <w:sz w:val="20"/>
          <w:szCs w:val="20"/>
          <w:bdr w:val="none" w:sz="0" w:space="0" w:color="auto"/>
          <w:lang w:val="es-ES_tradnl" w:eastAsia="ar-SA"/>
        </w:rPr>
      </w:pPr>
    </w:p>
    <w:p w14:paraId="697029FA" w14:textId="6C5906DE" w:rsidR="00E07FB6" w:rsidRPr="00A86CF7" w:rsidRDefault="00E07FB6" w:rsidP="00E07FB6">
      <w:pPr>
        <w:pStyle w:val="IJTextonormal"/>
        <w:rPr>
          <w:bCs w:val="0"/>
        </w:rPr>
      </w:pPr>
      <w:r w:rsidRPr="00A86CF7">
        <w:rPr>
          <w:b/>
        </w:rPr>
        <w:t>Andalucía</w:t>
      </w:r>
      <w:r w:rsidRPr="00A86CF7">
        <w:rPr>
          <w:bCs w:val="0"/>
        </w:rPr>
        <w:t xml:space="preserve">, por su lado, es la </w:t>
      </w:r>
      <w:r w:rsidRPr="00A86CF7">
        <w:rPr>
          <w:b/>
        </w:rPr>
        <w:t xml:space="preserve">tercera </w:t>
      </w:r>
      <w:r w:rsidR="00C125C4" w:rsidRPr="00A86CF7">
        <w:rPr>
          <w:b/>
        </w:rPr>
        <w:t>Comunidad</w:t>
      </w:r>
      <w:r w:rsidRPr="00A86CF7">
        <w:rPr>
          <w:bCs w:val="0"/>
        </w:rPr>
        <w:t xml:space="preserve"> con más </w:t>
      </w:r>
      <w:r w:rsidR="008350C2" w:rsidRPr="00A86CF7">
        <w:rPr>
          <w:bCs w:val="0"/>
        </w:rPr>
        <w:t xml:space="preserve">volumen de </w:t>
      </w:r>
      <w:r w:rsidR="00C125C4" w:rsidRPr="00A86CF7">
        <w:rPr>
          <w:bCs w:val="0"/>
        </w:rPr>
        <w:t>vacantes</w:t>
      </w:r>
      <w:r w:rsidRPr="00A86CF7">
        <w:rPr>
          <w:bCs w:val="0"/>
        </w:rPr>
        <w:t xml:space="preserve"> publicadas </w:t>
      </w:r>
      <w:r w:rsidR="00C20847" w:rsidRPr="00A86CF7">
        <w:rPr>
          <w:bCs w:val="0"/>
        </w:rPr>
        <w:t xml:space="preserve">en septiembre </w:t>
      </w:r>
      <w:r w:rsidR="00C125C4" w:rsidRPr="00A86CF7">
        <w:rPr>
          <w:bCs w:val="0"/>
        </w:rPr>
        <w:t xml:space="preserve">al recoger </w:t>
      </w:r>
      <w:r w:rsidRPr="00A86CF7">
        <w:rPr>
          <w:b/>
        </w:rPr>
        <w:t>21.908 vacantes</w:t>
      </w:r>
      <w:r w:rsidRPr="00A86CF7">
        <w:rPr>
          <w:bCs w:val="0"/>
        </w:rPr>
        <w:t xml:space="preserve">, un </w:t>
      </w:r>
      <w:r w:rsidR="00E105B2">
        <w:rPr>
          <w:bCs w:val="0"/>
        </w:rPr>
        <w:t>29,5</w:t>
      </w:r>
      <w:r w:rsidRPr="00A86CF7">
        <w:rPr>
          <w:bCs w:val="0"/>
        </w:rPr>
        <w:t>% más que e</w:t>
      </w:r>
      <w:r w:rsidR="00007F30" w:rsidRPr="00A86CF7">
        <w:rPr>
          <w:bCs w:val="0"/>
        </w:rPr>
        <w:t>n agosto</w:t>
      </w:r>
      <w:r w:rsidR="00C125C4" w:rsidRPr="00A86CF7">
        <w:rPr>
          <w:bCs w:val="0"/>
        </w:rPr>
        <w:t>.</w:t>
      </w:r>
      <w:r w:rsidRPr="00A86CF7">
        <w:rPr>
          <w:bCs w:val="0"/>
        </w:rPr>
        <w:t xml:space="preserve"> </w:t>
      </w:r>
    </w:p>
    <w:p w14:paraId="53D81761" w14:textId="77777777" w:rsidR="007D1702" w:rsidRPr="00A86CF7" w:rsidRDefault="007D1702" w:rsidP="007F55C0">
      <w:pPr>
        <w:pStyle w:val="IJTextonormal"/>
        <w:rPr>
          <w:bCs w:val="0"/>
        </w:rPr>
      </w:pPr>
    </w:p>
    <w:p w14:paraId="4B6D2A61" w14:textId="066A2C59" w:rsidR="00E43E39" w:rsidRPr="00A86CF7" w:rsidRDefault="00C125C4" w:rsidP="001D7E6B">
      <w:pPr>
        <w:pStyle w:val="IJTextonormal"/>
        <w:rPr>
          <w:bCs w:val="0"/>
        </w:rPr>
      </w:pPr>
      <w:r w:rsidRPr="00A86CF7">
        <w:rPr>
          <w:bCs w:val="0"/>
        </w:rPr>
        <w:t>Si analizamos los datos a nivel de crecimiento,</w:t>
      </w:r>
      <w:r w:rsidR="007F55C0" w:rsidRPr="00A86CF7">
        <w:rPr>
          <w:bCs w:val="0"/>
        </w:rPr>
        <w:t xml:space="preserve"> </w:t>
      </w:r>
      <w:r w:rsidR="00E43E39" w:rsidRPr="00A86CF7">
        <w:rPr>
          <w:b/>
        </w:rPr>
        <w:t>Castilla-La Mancha</w:t>
      </w:r>
      <w:r w:rsidR="00E43E39" w:rsidRPr="00A86CF7">
        <w:rPr>
          <w:bCs w:val="0"/>
        </w:rPr>
        <w:t xml:space="preserve">, </w:t>
      </w:r>
      <w:r w:rsidR="00E43E39" w:rsidRPr="00A86CF7">
        <w:t>la</w:t>
      </w:r>
      <w:r w:rsidR="00E43E39" w:rsidRPr="00A86CF7">
        <w:rPr>
          <w:b/>
        </w:rPr>
        <w:t xml:space="preserve"> Comunidad Valenciana</w:t>
      </w:r>
      <w:r w:rsidR="00E43E39" w:rsidRPr="00A86CF7">
        <w:rPr>
          <w:bCs w:val="0"/>
        </w:rPr>
        <w:t xml:space="preserve"> y </w:t>
      </w:r>
      <w:r w:rsidR="00E43E39" w:rsidRPr="00A86CF7">
        <w:rPr>
          <w:b/>
        </w:rPr>
        <w:t>Cantabria</w:t>
      </w:r>
      <w:r w:rsidR="00E43E39" w:rsidRPr="00A86CF7">
        <w:rPr>
          <w:bCs w:val="0"/>
        </w:rPr>
        <w:t xml:space="preserve"> </w:t>
      </w:r>
      <w:r w:rsidRPr="00A86CF7">
        <w:rPr>
          <w:bCs w:val="0"/>
        </w:rPr>
        <w:t xml:space="preserve">han sido </w:t>
      </w:r>
      <w:r w:rsidR="00E43E39" w:rsidRPr="00A86CF7">
        <w:rPr>
          <w:bCs w:val="0"/>
        </w:rPr>
        <w:t xml:space="preserve">las tres </w:t>
      </w:r>
      <w:r w:rsidRPr="00A86CF7">
        <w:rPr>
          <w:bCs w:val="0"/>
        </w:rPr>
        <w:t>comunidades</w:t>
      </w:r>
      <w:r w:rsidR="00E43E39" w:rsidRPr="00A86CF7">
        <w:rPr>
          <w:bCs w:val="0"/>
        </w:rPr>
        <w:t xml:space="preserve"> que más han crecido </w:t>
      </w:r>
      <w:r w:rsidRPr="00A86CF7">
        <w:rPr>
          <w:bCs w:val="0"/>
        </w:rPr>
        <w:t xml:space="preserve">de un mes a otro, registrando un incremento de las vacantes ofertadas del </w:t>
      </w:r>
      <w:r w:rsidR="00E43E39" w:rsidRPr="00A86CF7">
        <w:rPr>
          <w:b/>
        </w:rPr>
        <w:t>44</w:t>
      </w:r>
      <w:r w:rsidR="00A42FF7">
        <w:rPr>
          <w:b/>
        </w:rPr>
        <w:t>,5</w:t>
      </w:r>
      <w:r w:rsidR="00E43E39" w:rsidRPr="00A86CF7">
        <w:rPr>
          <w:b/>
        </w:rPr>
        <w:t>%</w:t>
      </w:r>
      <w:r w:rsidR="00E43E39" w:rsidRPr="00A86CF7">
        <w:rPr>
          <w:bCs w:val="0"/>
        </w:rPr>
        <w:t xml:space="preserve">, el </w:t>
      </w:r>
      <w:r w:rsidR="00E43E39" w:rsidRPr="00A86CF7">
        <w:rPr>
          <w:b/>
        </w:rPr>
        <w:t>43%</w:t>
      </w:r>
      <w:r w:rsidR="00E43E39" w:rsidRPr="00A86CF7">
        <w:rPr>
          <w:bCs w:val="0"/>
        </w:rPr>
        <w:t xml:space="preserve"> y el </w:t>
      </w:r>
      <w:r w:rsidR="00E43E39" w:rsidRPr="00A86CF7">
        <w:rPr>
          <w:b/>
        </w:rPr>
        <w:t>34%</w:t>
      </w:r>
      <w:r w:rsidR="00E43E39" w:rsidRPr="00A86CF7">
        <w:rPr>
          <w:bCs w:val="0"/>
        </w:rPr>
        <w:t xml:space="preserve">, respectivamente. </w:t>
      </w:r>
    </w:p>
    <w:p w14:paraId="010B365F" w14:textId="77777777" w:rsidR="006264EC" w:rsidRPr="00A86CF7" w:rsidRDefault="006264EC" w:rsidP="001D7E6B">
      <w:pPr>
        <w:pStyle w:val="IJTextonormal"/>
        <w:rPr>
          <w:bCs w:val="0"/>
        </w:rPr>
      </w:pPr>
    </w:p>
    <w:p w14:paraId="5A9EFC51" w14:textId="2F827A3F" w:rsidR="006768AA" w:rsidRPr="0003433E" w:rsidRDefault="00FF1008" w:rsidP="001D7E6B">
      <w:pPr>
        <w:pStyle w:val="IJTextonormal"/>
      </w:pPr>
      <w:r w:rsidRPr="00A86CF7">
        <w:t xml:space="preserve">Así se han comportado las diferentes Comunidades </w:t>
      </w:r>
      <w:r w:rsidR="00172545" w:rsidRPr="00A86CF7">
        <w:t>Autónomas en el mes de</w:t>
      </w:r>
      <w:r w:rsidR="00361528" w:rsidRPr="00A86CF7">
        <w:t xml:space="preserve"> septiembre</w:t>
      </w:r>
      <w:r w:rsidRPr="00A86CF7">
        <w:t>:</w:t>
      </w:r>
    </w:p>
    <w:p w14:paraId="6F5F44DC" w14:textId="612D4E5B" w:rsidR="006768AA" w:rsidRPr="00FF1008" w:rsidRDefault="006768AA" w:rsidP="001D7E6B">
      <w:pPr>
        <w:pStyle w:val="IJTextonormal"/>
        <w:rPr>
          <w:sz w:val="16"/>
          <w:szCs w:val="16"/>
        </w:rPr>
      </w:pPr>
      <w:bookmarkStart w:id="1" w:name="_Hlk8119322"/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220"/>
        <w:gridCol w:w="2620"/>
        <w:gridCol w:w="1300"/>
      </w:tblGrid>
      <w:tr w:rsidR="004D71BB" w:rsidRPr="004D71BB" w14:paraId="27EB222E" w14:textId="77777777" w:rsidTr="004D71BB">
        <w:trPr>
          <w:trHeight w:val="4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bookmarkEnd w:id="1"/>
          <w:p w14:paraId="1A30EE6A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2371BB7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AGOSTO '19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72F390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SEPTIEMBRE '19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9ACDEC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4D71BB" w:rsidRPr="004D71BB" w14:paraId="1B6F2AA9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06CC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698C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16.911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480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21.908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54D" w14:textId="4BCEA370" w:rsidR="004D71BB" w:rsidRPr="00313DEF" w:rsidRDefault="00A42FF7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29,5</w:t>
            </w:r>
            <w:r w:rsidR="004D71BB"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%</w:t>
            </w:r>
          </w:p>
        </w:tc>
      </w:tr>
      <w:tr w:rsidR="004D71BB" w:rsidRPr="004D71BB" w14:paraId="3CF2E3BA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29D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13E0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4.693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2CC0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A51" w14:textId="77777777" w:rsidR="004D71BB" w:rsidRPr="00313DEF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13DE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25%</w:t>
            </w:r>
          </w:p>
        </w:tc>
      </w:tr>
      <w:tr w:rsidR="004D71BB" w:rsidRPr="004D71BB" w14:paraId="08AD275F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94A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Cantabria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EA1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C8B4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7264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34%</w:t>
            </w:r>
          </w:p>
        </w:tc>
      </w:tr>
      <w:tr w:rsidR="004D71BB" w:rsidRPr="004D71BB" w14:paraId="696E42B6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E19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C3D4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617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767" w14:textId="0EB35D1E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44</w:t>
            </w:r>
            <w:r w:rsidR="00A42FF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,5</w:t>
            </w: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%</w:t>
            </w:r>
          </w:p>
        </w:tc>
      </w:tr>
      <w:tr w:rsidR="004D71BB" w:rsidRPr="004D71BB" w14:paraId="344C0F78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98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82C6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9.295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D87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F8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10%</w:t>
            </w:r>
          </w:p>
        </w:tc>
      </w:tr>
      <w:tr w:rsidR="004D71BB" w:rsidRPr="004D71BB" w14:paraId="616B9C43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55C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C14C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46.654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6982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54.577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857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17%</w:t>
            </w:r>
          </w:p>
        </w:tc>
      </w:tr>
      <w:tr w:rsidR="004D71BB" w:rsidRPr="004D71BB" w14:paraId="36D3882E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07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Ceuta y Melilla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EEA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FDF1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C3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-4%</w:t>
            </w:r>
          </w:p>
        </w:tc>
      </w:tr>
      <w:tr w:rsidR="004D71BB" w:rsidRPr="004D71BB" w14:paraId="00DB62DB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C7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D6AE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57.629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9806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74.770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43E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30%</w:t>
            </w:r>
          </w:p>
        </w:tc>
      </w:tr>
      <w:tr w:rsidR="004D71BB" w:rsidRPr="004D71BB" w14:paraId="4618A2ED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759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7F9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1.956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856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150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17%</w:t>
            </w:r>
          </w:p>
        </w:tc>
      </w:tr>
      <w:tr w:rsidR="004D71BB" w:rsidRPr="004D71BB" w14:paraId="3B59F014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846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67A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11.981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9D47A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17.177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F7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43%</w:t>
            </w:r>
          </w:p>
        </w:tc>
      </w:tr>
      <w:tr w:rsidR="004D71BB" w:rsidRPr="004D71BB" w14:paraId="74DF4480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7CD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205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155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224A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10%</w:t>
            </w:r>
          </w:p>
        </w:tc>
      </w:tr>
      <w:tr w:rsidR="004D71BB" w:rsidRPr="004D71BB" w14:paraId="57D69D3E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79D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3784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10.334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1841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11.472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4F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11%</w:t>
            </w:r>
          </w:p>
        </w:tc>
      </w:tr>
      <w:tr w:rsidR="004D71BB" w:rsidRPr="004D71BB" w14:paraId="3FB59601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EDC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97D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3.631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19B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0A78" w14:textId="7D927181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</w:t>
            </w:r>
            <w:r w:rsidR="00A42FF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3,5</w:t>
            </w: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%</w:t>
            </w:r>
          </w:p>
        </w:tc>
      </w:tr>
      <w:tr w:rsidR="004D71BB" w:rsidRPr="004D71BB" w14:paraId="621E83F6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A4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Canarias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E949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8564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812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-1%</w:t>
            </w:r>
          </w:p>
        </w:tc>
      </w:tr>
      <w:tr w:rsidR="004D71BB" w:rsidRPr="004D71BB" w14:paraId="1F094B59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403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934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73AC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55A4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18%</w:t>
            </w:r>
          </w:p>
        </w:tc>
      </w:tr>
      <w:tr w:rsidR="004D71BB" w:rsidRPr="004D71BB" w14:paraId="4DE981E7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5D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285F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7.528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8360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E2EE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21%</w:t>
            </w:r>
          </w:p>
        </w:tc>
      </w:tr>
      <w:tr w:rsidR="004D71BB" w:rsidRPr="004D71BB" w14:paraId="04D500C1" w14:textId="77777777" w:rsidTr="004D71BB">
        <w:trPr>
          <w:trHeight w:val="3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2AA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EBC5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BE42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ADB7" w14:textId="46D9B7AA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</w:t>
            </w:r>
            <w:r w:rsidR="00A42FF7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,5</w:t>
            </w: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%</w:t>
            </w:r>
          </w:p>
        </w:tc>
      </w:tr>
      <w:tr w:rsidR="004D71BB" w:rsidRPr="004D71BB" w14:paraId="00B1F3FC" w14:textId="77777777" w:rsidTr="004D71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339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ADE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158C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87FF8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20%</w:t>
            </w:r>
          </w:p>
        </w:tc>
      </w:tr>
      <w:tr w:rsidR="004D71BB" w:rsidRPr="004D71BB" w14:paraId="14C71529" w14:textId="77777777" w:rsidTr="004D71BB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5E9C870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lastRenderedPageBreak/>
              <w:t>TOTAL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4BB4BE1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189.421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5AB7DB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234.345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4BFA1E" w14:textId="77777777" w:rsidR="004D71BB" w:rsidRPr="004D71BB" w:rsidRDefault="004D71BB" w:rsidP="004D7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4D71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24%</w:t>
            </w:r>
          </w:p>
        </w:tc>
      </w:tr>
    </w:tbl>
    <w:p w14:paraId="77CDC515" w14:textId="77777777" w:rsidR="00CF03FC" w:rsidRDefault="00CF03FC" w:rsidP="00172545">
      <w:pPr>
        <w:pStyle w:val="IJTextonormal"/>
        <w:rPr>
          <w:b/>
          <w:bCs w:val="0"/>
        </w:rPr>
      </w:pPr>
    </w:p>
    <w:p w14:paraId="1A3EA0CC" w14:textId="1B49C315" w:rsidR="004E7791" w:rsidRDefault="00B210F5" w:rsidP="00172545">
      <w:pPr>
        <w:pStyle w:val="IJTextonormal"/>
        <w:rPr>
          <w:rStyle w:val="Hipervnculo"/>
          <w:color w:val="005180" w:themeColor="accent1" w:themeShade="80"/>
        </w:rPr>
      </w:pPr>
      <w:r w:rsidRPr="00B17301">
        <w:rPr>
          <w:b/>
          <w:bCs w:val="0"/>
        </w:rPr>
        <w:t>Información adicional</w:t>
      </w:r>
      <w:r w:rsidR="004D71BB">
        <w:rPr>
          <w:b/>
          <w:bCs w:val="0"/>
        </w:rPr>
        <w:t xml:space="preserve"> </w:t>
      </w: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198ABFA4" w14:textId="5AEFFC6F" w:rsidR="004E7791" w:rsidRDefault="000976B1" w:rsidP="00172545">
      <w:pPr>
        <w:pStyle w:val="IJTextonormal"/>
        <w:rPr>
          <w:rStyle w:val="Hipervnculo"/>
          <w:color w:val="005180" w:themeColor="accent1" w:themeShade="8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CB7CEF1" wp14:editId="340BB20A">
                <wp:simplePos x="0" y="0"/>
                <wp:positionH relativeFrom="margin">
                  <wp:align>left</wp:align>
                </wp:positionH>
                <wp:positionV relativeFrom="margin">
                  <wp:posOffset>2550160</wp:posOffset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651EC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left;mso-position-horizontal-relative:margin;mso-position-vertical:absolute;mso-position-vertical-relative:margin;mso-width-percent:0;mso-width-relative:margin" from="0,200.8pt" to="435.7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</w:p>
    <w:p w14:paraId="17F471D5" w14:textId="7351C989" w:rsidR="004E7791" w:rsidRPr="007E5005" w:rsidRDefault="004E7791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7BFB021" w14:textId="6E5650C7" w:rsidR="004E7791" w:rsidRDefault="004E7791" w:rsidP="004E7791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2FD49ADC" w14:textId="77777777" w:rsidR="004E7791" w:rsidRPr="007E5005" w:rsidRDefault="004E7791" w:rsidP="004E7791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0A45BE98" w14:textId="2F2A9170" w:rsidR="004E7791" w:rsidRPr="007E5005" w:rsidRDefault="004E7791" w:rsidP="004E7791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Spain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30AD8A70" w14:textId="77777777" w:rsidR="004E7791" w:rsidRPr="005F26CF" w:rsidRDefault="004E7791" w:rsidP="004E7791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CA4AD87" w14:textId="77777777" w:rsidR="004E7791" w:rsidRPr="00563415" w:rsidRDefault="004E7791" w:rsidP="004E7791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24A1C86B" w14:textId="77777777" w:rsidR="004E7791" w:rsidRPr="00CC3687" w:rsidRDefault="004E7791" w:rsidP="004E7791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6D92896F" w14:textId="77777777" w:rsidR="004E7791" w:rsidRPr="00C506F7" w:rsidRDefault="004E7791" w:rsidP="004E7791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29AF5BFD" w14:textId="77777777" w:rsidR="004E7791" w:rsidRDefault="0083263E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</w:t>
      </w:r>
      <w:hyperlink r:id="rId11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4E7791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4E7791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61691917" w14:textId="4768CBB5" w:rsidR="004E7791" w:rsidRPr="004D71BB" w:rsidRDefault="004E7791" w:rsidP="004E7791">
      <w:pPr>
        <w:pStyle w:val="IJTextonormal"/>
        <w:rPr>
          <w:b/>
          <w:bCs w:val="0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AD95" wp14:editId="4A1EE3E7">
                <wp:simplePos x="0" y="0"/>
                <wp:positionH relativeFrom="margin">
                  <wp:posOffset>40640</wp:posOffset>
                </wp:positionH>
                <wp:positionV relativeFrom="paragraph">
                  <wp:posOffset>379095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652E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29.85pt" to="455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" strokecolor="#a19e9e [2414]">
                <v:stroke miterlimit="4" joinstyle="miter"/>
                <w10:wrap anchorx="margin"/>
              </v:line>
            </w:pict>
          </mc:Fallback>
        </mc:AlternateContent>
      </w:r>
      <w:r>
        <w:rPr>
          <w:color w:val="7F7F7F"/>
          <w:sz w:val="18"/>
          <w:szCs w:val="18"/>
          <w:u w:color="7F7F7F"/>
          <w:lang w:val="pt-PT"/>
        </w:rPr>
        <w:t>T. 608 69 87 54</w:t>
      </w:r>
      <w:r>
        <w:rPr>
          <w:color w:val="7F7F7F"/>
          <w:sz w:val="18"/>
          <w:szCs w:val="18"/>
          <w:u w:color="7F7F7F"/>
          <w:lang w:val="pt-PT"/>
        </w:rPr>
        <w:tab/>
        <w:t xml:space="preserve">                    </w:t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  <w:t xml:space="preserve"> T</w:t>
      </w:r>
      <w:r w:rsidRPr="00C506F7">
        <w:rPr>
          <w:color w:val="7F7F7F"/>
          <w:sz w:val="18"/>
          <w:szCs w:val="18"/>
          <w:u w:color="7F7F7F"/>
          <w:lang w:val="pt-PT"/>
        </w:rPr>
        <w:t xml:space="preserve">. </w:t>
      </w:r>
      <w:r>
        <w:rPr>
          <w:color w:val="7F7F7F"/>
          <w:sz w:val="18"/>
          <w:szCs w:val="18"/>
          <w:u w:color="7F7F7F"/>
          <w:lang w:val="pt-PT"/>
        </w:rPr>
        <w:t>93 415 37 05</w:t>
      </w:r>
    </w:p>
    <w:sectPr w:rsidR="004E7791" w:rsidRPr="004D71BB" w:rsidSect="00F05261">
      <w:headerReference w:type="default" r:id="rId12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57A8" w14:textId="77777777" w:rsidR="0083263E" w:rsidRDefault="0083263E">
      <w:r>
        <w:separator/>
      </w:r>
    </w:p>
  </w:endnote>
  <w:endnote w:type="continuationSeparator" w:id="0">
    <w:p w14:paraId="45147F85" w14:textId="77777777" w:rsidR="0083263E" w:rsidRDefault="0083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ED71" w14:textId="77777777" w:rsidR="0083263E" w:rsidRDefault="0083263E">
      <w:r>
        <w:separator/>
      </w:r>
    </w:p>
  </w:footnote>
  <w:footnote w:type="continuationSeparator" w:id="0">
    <w:p w14:paraId="342AEC41" w14:textId="77777777" w:rsidR="0083263E" w:rsidRDefault="0083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4ADCA819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s-ES_tradnl"/>
      </w:rPr>
      <w:t xml:space="preserve">  </w:t>
    </w:r>
    <w:r>
      <w:tab/>
      <w:t xml:space="preserve">     </w:t>
    </w:r>
    <w:r w:rsidRPr="00AD20EE">
      <w:rPr>
        <w:color w:val="919191"/>
        <w:sz w:val="24"/>
        <w:szCs w:val="24"/>
        <w:lang w:val="es-ES_tradnl"/>
      </w:rPr>
      <w:t>Análisis de Indicadores InfoJobs septiembre 2019</w:t>
    </w:r>
  </w:p>
  <w:p w14:paraId="77964756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7F30"/>
    <w:rsid w:val="000152B6"/>
    <w:rsid w:val="000176E3"/>
    <w:rsid w:val="00017A6D"/>
    <w:rsid w:val="00025D0C"/>
    <w:rsid w:val="0003433E"/>
    <w:rsid w:val="00034C28"/>
    <w:rsid w:val="000423C6"/>
    <w:rsid w:val="00056467"/>
    <w:rsid w:val="00060AC7"/>
    <w:rsid w:val="000628BE"/>
    <w:rsid w:val="00062E74"/>
    <w:rsid w:val="000648C1"/>
    <w:rsid w:val="00072788"/>
    <w:rsid w:val="0007478F"/>
    <w:rsid w:val="00075DCA"/>
    <w:rsid w:val="00083F8A"/>
    <w:rsid w:val="0008441A"/>
    <w:rsid w:val="0009226A"/>
    <w:rsid w:val="000976B1"/>
    <w:rsid w:val="000A1DBD"/>
    <w:rsid w:val="000B028E"/>
    <w:rsid w:val="000C066E"/>
    <w:rsid w:val="000E0F65"/>
    <w:rsid w:val="000F733F"/>
    <w:rsid w:val="00102235"/>
    <w:rsid w:val="00106DAE"/>
    <w:rsid w:val="001074D4"/>
    <w:rsid w:val="001116A9"/>
    <w:rsid w:val="00113E18"/>
    <w:rsid w:val="00114C0B"/>
    <w:rsid w:val="00151F7A"/>
    <w:rsid w:val="00155BE5"/>
    <w:rsid w:val="00166F14"/>
    <w:rsid w:val="00172545"/>
    <w:rsid w:val="00173B6F"/>
    <w:rsid w:val="00176A2B"/>
    <w:rsid w:val="00185EEF"/>
    <w:rsid w:val="00186AA7"/>
    <w:rsid w:val="00196BF2"/>
    <w:rsid w:val="001A273C"/>
    <w:rsid w:val="001D4C57"/>
    <w:rsid w:val="001D7E6B"/>
    <w:rsid w:val="001E1D93"/>
    <w:rsid w:val="001E369C"/>
    <w:rsid w:val="001E4B86"/>
    <w:rsid w:val="001E556F"/>
    <w:rsid w:val="001E570D"/>
    <w:rsid w:val="001E714C"/>
    <w:rsid w:val="001F01AE"/>
    <w:rsid w:val="00217D7B"/>
    <w:rsid w:val="00224BBE"/>
    <w:rsid w:val="00226687"/>
    <w:rsid w:val="0023523D"/>
    <w:rsid w:val="00244C57"/>
    <w:rsid w:val="00247047"/>
    <w:rsid w:val="0026080E"/>
    <w:rsid w:val="002611F4"/>
    <w:rsid w:val="00282A20"/>
    <w:rsid w:val="00283D84"/>
    <w:rsid w:val="00294D77"/>
    <w:rsid w:val="002A4C03"/>
    <w:rsid w:val="002C1762"/>
    <w:rsid w:val="002F1065"/>
    <w:rsid w:val="00300B5E"/>
    <w:rsid w:val="00306216"/>
    <w:rsid w:val="00313DEF"/>
    <w:rsid w:val="00321054"/>
    <w:rsid w:val="00322C76"/>
    <w:rsid w:val="003239E3"/>
    <w:rsid w:val="00333E36"/>
    <w:rsid w:val="00342E4C"/>
    <w:rsid w:val="00345A4F"/>
    <w:rsid w:val="003501E8"/>
    <w:rsid w:val="003604BC"/>
    <w:rsid w:val="00361528"/>
    <w:rsid w:val="00366687"/>
    <w:rsid w:val="003767CA"/>
    <w:rsid w:val="00377320"/>
    <w:rsid w:val="00381504"/>
    <w:rsid w:val="00390ADA"/>
    <w:rsid w:val="003A05DC"/>
    <w:rsid w:val="003A2094"/>
    <w:rsid w:val="003B7B14"/>
    <w:rsid w:val="003C523A"/>
    <w:rsid w:val="003D184B"/>
    <w:rsid w:val="003D2E4A"/>
    <w:rsid w:val="003F4A1D"/>
    <w:rsid w:val="00403D9A"/>
    <w:rsid w:val="00434918"/>
    <w:rsid w:val="00442948"/>
    <w:rsid w:val="00443E5A"/>
    <w:rsid w:val="00444DBA"/>
    <w:rsid w:val="00453816"/>
    <w:rsid w:val="00477E87"/>
    <w:rsid w:val="004843A3"/>
    <w:rsid w:val="00491CEB"/>
    <w:rsid w:val="004A1E8A"/>
    <w:rsid w:val="004C0AF3"/>
    <w:rsid w:val="004D71BB"/>
    <w:rsid w:val="004E7047"/>
    <w:rsid w:val="004E7791"/>
    <w:rsid w:val="004F6673"/>
    <w:rsid w:val="004F6E3C"/>
    <w:rsid w:val="00501247"/>
    <w:rsid w:val="0050703D"/>
    <w:rsid w:val="00513B39"/>
    <w:rsid w:val="005209FA"/>
    <w:rsid w:val="00542B47"/>
    <w:rsid w:val="005564B7"/>
    <w:rsid w:val="0056061E"/>
    <w:rsid w:val="00563415"/>
    <w:rsid w:val="00571E8E"/>
    <w:rsid w:val="005966B7"/>
    <w:rsid w:val="005B3DF8"/>
    <w:rsid w:val="005B676C"/>
    <w:rsid w:val="005C0156"/>
    <w:rsid w:val="005C200A"/>
    <w:rsid w:val="005C37CB"/>
    <w:rsid w:val="005C593B"/>
    <w:rsid w:val="005C7B44"/>
    <w:rsid w:val="005E697E"/>
    <w:rsid w:val="00607524"/>
    <w:rsid w:val="006264EC"/>
    <w:rsid w:val="00627B0D"/>
    <w:rsid w:val="00634C98"/>
    <w:rsid w:val="006402A8"/>
    <w:rsid w:val="0065123F"/>
    <w:rsid w:val="00667D4E"/>
    <w:rsid w:val="006768AA"/>
    <w:rsid w:val="006A37B9"/>
    <w:rsid w:val="006C2546"/>
    <w:rsid w:val="006C2E03"/>
    <w:rsid w:val="006C343F"/>
    <w:rsid w:val="006C3A1A"/>
    <w:rsid w:val="006D5638"/>
    <w:rsid w:val="006D71E8"/>
    <w:rsid w:val="006D72BC"/>
    <w:rsid w:val="006E355C"/>
    <w:rsid w:val="006F7019"/>
    <w:rsid w:val="007009EF"/>
    <w:rsid w:val="0070578F"/>
    <w:rsid w:val="007078D1"/>
    <w:rsid w:val="00710F9C"/>
    <w:rsid w:val="00713DDB"/>
    <w:rsid w:val="007629A9"/>
    <w:rsid w:val="00785AA1"/>
    <w:rsid w:val="00787F2D"/>
    <w:rsid w:val="00791A0B"/>
    <w:rsid w:val="0079781E"/>
    <w:rsid w:val="007B059C"/>
    <w:rsid w:val="007C2843"/>
    <w:rsid w:val="007D1702"/>
    <w:rsid w:val="007E4165"/>
    <w:rsid w:val="007E7622"/>
    <w:rsid w:val="007F55C0"/>
    <w:rsid w:val="00803AF7"/>
    <w:rsid w:val="008142B2"/>
    <w:rsid w:val="0083263E"/>
    <w:rsid w:val="008336EF"/>
    <w:rsid w:val="008350C2"/>
    <w:rsid w:val="00865CE0"/>
    <w:rsid w:val="008715E2"/>
    <w:rsid w:val="008856EF"/>
    <w:rsid w:val="00887066"/>
    <w:rsid w:val="008A5F67"/>
    <w:rsid w:val="008B7197"/>
    <w:rsid w:val="008C0BC7"/>
    <w:rsid w:val="008C2DA7"/>
    <w:rsid w:val="008D6389"/>
    <w:rsid w:val="008E3E30"/>
    <w:rsid w:val="00926153"/>
    <w:rsid w:val="00930EAD"/>
    <w:rsid w:val="0093312E"/>
    <w:rsid w:val="00934CFB"/>
    <w:rsid w:val="00935547"/>
    <w:rsid w:val="00951CE1"/>
    <w:rsid w:val="0095497D"/>
    <w:rsid w:val="00955DFB"/>
    <w:rsid w:val="0097041C"/>
    <w:rsid w:val="00977513"/>
    <w:rsid w:val="00981AFB"/>
    <w:rsid w:val="00992C49"/>
    <w:rsid w:val="0099432B"/>
    <w:rsid w:val="009A3136"/>
    <w:rsid w:val="009C1187"/>
    <w:rsid w:val="009C6D2B"/>
    <w:rsid w:val="009E0402"/>
    <w:rsid w:val="009F1FAA"/>
    <w:rsid w:val="00A01865"/>
    <w:rsid w:val="00A22ED7"/>
    <w:rsid w:val="00A318FC"/>
    <w:rsid w:val="00A42FF7"/>
    <w:rsid w:val="00A530C1"/>
    <w:rsid w:val="00A62FDD"/>
    <w:rsid w:val="00A7004A"/>
    <w:rsid w:val="00A74A9F"/>
    <w:rsid w:val="00A83E07"/>
    <w:rsid w:val="00A86CF7"/>
    <w:rsid w:val="00A91494"/>
    <w:rsid w:val="00A928A7"/>
    <w:rsid w:val="00AC3E10"/>
    <w:rsid w:val="00AD20EE"/>
    <w:rsid w:val="00AD60A2"/>
    <w:rsid w:val="00AD7104"/>
    <w:rsid w:val="00AD730E"/>
    <w:rsid w:val="00AE4204"/>
    <w:rsid w:val="00AE53CC"/>
    <w:rsid w:val="00AF6EBE"/>
    <w:rsid w:val="00B05902"/>
    <w:rsid w:val="00B17301"/>
    <w:rsid w:val="00B210F5"/>
    <w:rsid w:val="00B23534"/>
    <w:rsid w:val="00B2437C"/>
    <w:rsid w:val="00B24677"/>
    <w:rsid w:val="00B268AD"/>
    <w:rsid w:val="00B301AB"/>
    <w:rsid w:val="00B32B1C"/>
    <w:rsid w:val="00B445A8"/>
    <w:rsid w:val="00B64B4C"/>
    <w:rsid w:val="00B64BC7"/>
    <w:rsid w:val="00B67DDC"/>
    <w:rsid w:val="00B705F9"/>
    <w:rsid w:val="00B74184"/>
    <w:rsid w:val="00B7651D"/>
    <w:rsid w:val="00B82FC1"/>
    <w:rsid w:val="00B84AF5"/>
    <w:rsid w:val="00BA1948"/>
    <w:rsid w:val="00BA3911"/>
    <w:rsid w:val="00BA703F"/>
    <w:rsid w:val="00BB1908"/>
    <w:rsid w:val="00BB6414"/>
    <w:rsid w:val="00BB6878"/>
    <w:rsid w:val="00BC2953"/>
    <w:rsid w:val="00BC76ED"/>
    <w:rsid w:val="00BD3A3F"/>
    <w:rsid w:val="00BE21E3"/>
    <w:rsid w:val="00C07A59"/>
    <w:rsid w:val="00C125C4"/>
    <w:rsid w:val="00C13E5B"/>
    <w:rsid w:val="00C1694D"/>
    <w:rsid w:val="00C20847"/>
    <w:rsid w:val="00C208A0"/>
    <w:rsid w:val="00C234B4"/>
    <w:rsid w:val="00C26272"/>
    <w:rsid w:val="00C30B29"/>
    <w:rsid w:val="00C30F0E"/>
    <w:rsid w:val="00C506F7"/>
    <w:rsid w:val="00C618C7"/>
    <w:rsid w:val="00C71622"/>
    <w:rsid w:val="00C72757"/>
    <w:rsid w:val="00C73EA2"/>
    <w:rsid w:val="00C777EA"/>
    <w:rsid w:val="00C83F15"/>
    <w:rsid w:val="00CB1CD5"/>
    <w:rsid w:val="00CB2A1A"/>
    <w:rsid w:val="00CB349D"/>
    <w:rsid w:val="00CC2366"/>
    <w:rsid w:val="00CC70AB"/>
    <w:rsid w:val="00CE0F70"/>
    <w:rsid w:val="00CE56FA"/>
    <w:rsid w:val="00CF03FC"/>
    <w:rsid w:val="00D0333E"/>
    <w:rsid w:val="00D074CB"/>
    <w:rsid w:val="00D07677"/>
    <w:rsid w:val="00D16BDC"/>
    <w:rsid w:val="00D54425"/>
    <w:rsid w:val="00D7612C"/>
    <w:rsid w:val="00DB333E"/>
    <w:rsid w:val="00DB4735"/>
    <w:rsid w:val="00DB7A17"/>
    <w:rsid w:val="00DD5F9E"/>
    <w:rsid w:val="00DD62A5"/>
    <w:rsid w:val="00E07FB6"/>
    <w:rsid w:val="00E105B2"/>
    <w:rsid w:val="00E211FF"/>
    <w:rsid w:val="00E43E39"/>
    <w:rsid w:val="00E4450F"/>
    <w:rsid w:val="00E46A23"/>
    <w:rsid w:val="00E559CD"/>
    <w:rsid w:val="00E57A98"/>
    <w:rsid w:val="00E61008"/>
    <w:rsid w:val="00E64A20"/>
    <w:rsid w:val="00E806E9"/>
    <w:rsid w:val="00E8537F"/>
    <w:rsid w:val="00E907BD"/>
    <w:rsid w:val="00EA6B08"/>
    <w:rsid w:val="00EB1105"/>
    <w:rsid w:val="00EB1DF6"/>
    <w:rsid w:val="00EC1A0B"/>
    <w:rsid w:val="00EC79A6"/>
    <w:rsid w:val="00F03C21"/>
    <w:rsid w:val="00F05261"/>
    <w:rsid w:val="00F0532D"/>
    <w:rsid w:val="00F20EDE"/>
    <w:rsid w:val="00F22DD5"/>
    <w:rsid w:val="00F24E75"/>
    <w:rsid w:val="00F2569F"/>
    <w:rsid w:val="00F30FD9"/>
    <w:rsid w:val="00F36CDE"/>
    <w:rsid w:val="00F42228"/>
    <w:rsid w:val="00F47D86"/>
    <w:rsid w:val="00F54883"/>
    <w:rsid w:val="00F5602C"/>
    <w:rsid w:val="00F60924"/>
    <w:rsid w:val="00F6518C"/>
    <w:rsid w:val="00F72DEA"/>
    <w:rsid w:val="00F733E2"/>
    <w:rsid w:val="00F75F38"/>
    <w:rsid w:val="00F8634D"/>
    <w:rsid w:val="00F93975"/>
    <w:rsid w:val="00F96D3F"/>
    <w:rsid w:val="00FA1C38"/>
    <w:rsid w:val="00FB2073"/>
    <w:rsid w:val="00FC6BC9"/>
    <w:rsid w:val="00FD18E1"/>
    <w:rsid w:val="00FE7EBA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FCC4-C3BD-46AD-9A36-9BD4359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156</cp:revision>
  <cp:lastPrinted>2019-10-09T07:18:00Z</cp:lastPrinted>
  <dcterms:created xsi:type="dcterms:W3CDTF">2019-10-08T09:25:00Z</dcterms:created>
  <dcterms:modified xsi:type="dcterms:W3CDTF">2019-10-10T14:49:00Z</dcterms:modified>
</cp:coreProperties>
</file>